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eastAsiaTheme="minorHAnsi"/>
          <w:color w:val="4472C4" w:themeColor="accent1"/>
        </w:rPr>
        <w:id w:val="-1629162271"/>
        <w:docPartObj>
          <w:docPartGallery w:val="Cover Pages"/>
          <w:docPartUnique/>
        </w:docPartObj>
      </w:sdtPr>
      <w:sdtEndPr>
        <w:rPr>
          <w:i/>
          <w:color w:val="auto"/>
        </w:rPr>
      </w:sdtEndPr>
      <w:sdtContent>
        <w:p w:rsidR="00587213" w:rsidRDefault="00587213">
          <w:pPr>
            <w:pStyle w:val="NoSpacing"/>
            <w:spacing w:before="1540" w:after="240"/>
            <w:jc w:val="center"/>
            <w:rPr>
              <w:color w:val="4472C4" w:themeColor="accent1"/>
            </w:rPr>
          </w:pPr>
          <w:r>
            <w:rPr>
              <w:noProof/>
              <w:color w:val="4472C4" w:themeColor="accent1"/>
            </w:rPr>
            <w:drawing>
              <wp:inline distT="0" distB="0" distL="0" distR="0" wp14:anchorId="51077FB2" wp14:editId="27BAA502">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7"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4472C4" w:themeColor="accent1"/>
              <w:sz w:val="72"/>
              <w:szCs w:val="72"/>
            </w:rPr>
            <w:alias w:val="Title"/>
            <w:tag w:val=""/>
            <w:id w:val="1735040861"/>
            <w:placeholder>
              <w:docPart w:val="C972BFDF25E04524A688BB6FFA9D225C"/>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rsidR="00587213" w:rsidRDefault="00587213">
              <w:pPr>
                <w:pStyle w:val="NoSpacing"/>
                <w:pBdr>
                  <w:top w:val="single" w:sz="6" w:space="6" w:color="4472C4" w:themeColor="accent1"/>
                  <w:bottom w:val="single" w:sz="6" w:space="6" w:color="4472C4" w:themeColor="accent1"/>
                </w:pBdr>
                <w:spacing w:after="240"/>
                <w:jc w:val="center"/>
                <w:rPr>
                  <w:rFonts w:asciiTheme="majorHAnsi" w:eastAsiaTheme="majorEastAsia" w:hAnsiTheme="majorHAnsi" w:cstheme="majorBidi"/>
                  <w:caps/>
                  <w:color w:val="4472C4" w:themeColor="accent1"/>
                  <w:sz w:val="80"/>
                  <w:szCs w:val="80"/>
                </w:rPr>
              </w:pPr>
              <w:r>
                <w:rPr>
                  <w:rFonts w:asciiTheme="majorHAnsi" w:eastAsiaTheme="majorEastAsia" w:hAnsiTheme="majorHAnsi" w:cstheme="majorBidi"/>
                  <w:caps/>
                  <w:color w:val="4472C4" w:themeColor="accent1"/>
                  <w:sz w:val="72"/>
                  <w:szCs w:val="72"/>
                </w:rPr>
                <w:t>Building donor relationships</w:t>
              </w:r>
            </w:p>
          </w:sdtContent>
        </w:sdt>
        <w:p w:rsidR="00587213" w:rsidRDefault="00587213">
          <w:pPr>
            <w:pStyle w:val="NoSpacing"/>
            <w:spacing w:before="480"/>
            <w:jc w:val="center"/>
            <w:rPr>
              <w:color w:val="4472C4" w:themeColor="accent1"/>
            </w:rPr>
          </w:pPr>
          <w:r>
            <w:rPr>
              <w:noProof/>
              <w:color w:val="4472C4" w:themeColor="accent1"/>
            </w:rPr>
            <w:drawing>
              <wp:inline distT="0" distB="0" distL="0" distR="0" wp14:anchorId="3E59134C" wp14:editId="7A460EB7">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8"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rsidR="00587213" w:rsidRDefault="00587213">
          <w:pPr>
            <w:rPr>
              <w:i/>
            </w:rPr>
          </w:pPr>
        </w:p>
        <w:p w:rsidR="00587213" w:rsidRDefault="000D6C81">
          <w:pPr>
            <w:rPr>
              <w:rFonts w:cs="ArnoPro-LightDisplay"/>
              <w:i/>
              <w:color w:val="000000"/>
              <w:spacing w:val="-2"/>
              <w:sz w:val="24"/>
              <w:szCs w:val="24"/>
            </w:rPr>
          </w:pPr>
          <w:r w:rsidRPr="00587213">
            <w:rPr>
              <w:i/>
              <w:noProof/>
            </w:rPr>
            <mc:AlternateContent>
              <mc:Choice Requires="wps">
                <w:drawing>
                  <wp:anchor distT="91440" distB="91440" distL="114300" distR="114300" simplePos="0" relativeHeight="251664384" behindDoc="0" locked="0" layoutInCell="1" allowOverlap="1" wp14:anchorId="385BEF1F" wp14:editId="39F13C72">
                    <wp:simplePos x="0" y="0"/>
                    <wp:positionH relativeFrom="margin">
                      <wp:align>center</wp:align>
                    </wp:positionH>
                    <wp:positionV relativeFrom="paragraph">
                      <wp:posOffset>400685</wp:posOffset>
                    </wp:positionV>
                    <wp:extent cx="4476750" cy="1403985"/>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0" cy="1403985"/>
                            </a:xfrm>
                            <a:prstGeom prst="rect">
                              <a:avLst/>
                            </a:prstGeom>
                            <a:noFill/>
                            <a:ln w="9525">
                              <a:noFill/>
                              <a:miter lim="800000"/>
                              <a:headEnd/>
                              <a:tailEnd/>
                            </a:ln>
                          </wps:spPr>
                          <wps:txbx>
                            <w:txbxContent>
                              <w:p w:rsidR="00587213" w:rsidRDefault="00A01A4A" w:rsidP="00587213">
                                <w:pPr>
                                  <w:spacing w:after="0"/>
                                  <w:jc w:val="center"/>
                                  <w:rPr>
                                    <w:rFonts w:cstheme="minorHAnsi"/>
                                    <w:b/>
                                    <w:iCs/>
                                    <w:color w:val="4472C4" w:themeColor="accent1"/>
                                    <w:sz w:val="44"/>
                                    <w:szCs w:val="44"/>
                                  </w:rPr>
                                </w:pPr>
                                <w:r w:rsidRPr="00A01A4A">
                                  <w:rPr>
                                    <w:rFonts w:cstheme="minorHAnsi"/>
                                    <w:b/>
                                    <w:iCs/>
                                    <w:color w:val="4472C4" w:themeColor="accent1"/>
                                    <w:sz w:val="44"/>
                                    <w:szCs w:val="44"/>
                                  </w:rPr>
                                  <w:t>FORMS</w:t>
                                </w:r>
                              </w:p>
                              <w:p w:rsidR="00A01A4A" w:rsidRDefault="00235E38" w:rsidP="00587213">
                                <w:pPr>
                                  <w:spacing w:after="0"/>
                                  <w:jc w:val="center"/>
                                  <w:rPr>
                                    <w:rFonts w:cstheme="minorHAnsi"/>
                                    <w:iCs/>
                                    <w:color w:val="4472C4" w:themeColor="accent1"/>
                                    <w:sz w:val="44"/>
                                    <w:szCs w:val="44"/>
                                  </w:rPr>
                                </w:pPr>
                                <w:r>
                                  <w:rPr>
                                    <w:rFonts w:cstheme="minorHAnsi"/>
                                    <w:iCs/>
                                    <w:color w:val="4472C4" w:themeColor="accent1"/>
                                    <w:sz w:val="44"/>
                                    <w:szCs w:val="44"/>
                                  </w:rPr>
                                  <w:t>Current Model Standards of Practice</w:t>
                                </w:r>
                              </w:p>
                              <w:p w:rsidR="00235E38" w:rsidRPr="00A01A4A" w:rsidRDefault="00235E38" w:rsidP="00587213">
                                <w:pPr>
                                  <w:spacing w:after="0"/>
                                  <w:jc w:val="center"/>
                                  <w:rPr>
                                    <w:rFonts w:cstheme="minorHAnsi"/>
                                    <w:iCs/>
                                    <w:color w:val="4472C4" w:themeColor="accent1"/>
                                    <w:sz w:val="44"/>
                                    <w:szCs w:val="44"/>
                                  </w:rPr>
                                </w:pPr>
                                <w:r>
                                  <w:rPr>
                                    <w:rFonts w:cstheme="minorHAnsi"/>
                                    <w:iCs/>
                                    <w:color w:val="4472C4" w:themeColor="accent1"/>
                                    <w:sz w:val="44"/>
                                    <w:szCs w:val="44"/>
                                  </w:rPr>
                                  <w:t>PGB2-0901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85BEF1F" id="_x0000_t202" coordsize="21600,21600" o:spt="202" path="m,l,21600r21600,l21600,xe">
                    <v:stroke joinstyle="miter"/>
                    <v:path gradientshapeok="t" o:connecttype="rect"/>
                  </v:shapetype>
                  <v:shape id="Text Box 2" o:spid="_x0000_s1026" type="#_x0000_t202" style="position:absolute;margin-left:0;margin-top:31.55pt;width:352.5pt;height:110.55pt;z-index:251664384;visibility:visible;mso-wrap-style:square;mso-width-percent:0;mso-height-percent:200;mso-wrap-distance-left:9pt;mso-wrap-distance-top:7.2pt;mso-wrap-distance-right:9pt;mso-wrap-distance-bottom:7.2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" filled="f" stroked="f">
                    <v:textbox style="mso-fit-shape-to-text:t">
                      <w:txbxContent>
                        <w:p w:rsidR="00587213" w:rsidRDefault="00A01A4A" w:rsidP="00587213">
                          <w:pPr>
                            <w:spacing w:after="0"/>
                            <w:jc w:val="center"/>
                            <w:rPr>
                              <w:rFonts w:cstheme="minorHAnsi"/>
                              <w:b/>
                              <w:iCs/>
                              <w:color w:val="4472C4" w:themeColor="accent1"/>
                              <w:sz w:val="44"/>
                              <w:szCs w:val="44"/>
                            </w:rPr>
                          </w:pPr>
                          <w:r w:rsidRPr="00A01A4A">
                            <w:rPr>
                              <w:rFonts w:cstheme="minorHAnsi"/>
                              <w:b/>
                              <w:iCs/>
                              <w:color w:val="4472C4" w:themeColor="accent1"/>
                              <w:sz w:val="44"/>
                              <w:szCs w:val="44"/>
                            </w:rPr>
                            <w:t>FORMS</w:t>
                          </w:r>
                        </w:p>
                        <w:p w:rsidR="00A01A4A" w:rsidRDefault="00235E38" w:rsidP="00587213">
                          <w:pPr>
                            <w:spacing w:after="0"/>
                            <w:jc w:val="center"/>
                            <w:rPr>
                              <w:rFonts w:cstheme="minorHAnsi"/>
                              <w:iCs/>
                              <w:color w:val="4472C4" w:themeColor="accent1"/>
                              <w:sz w:val="44"/>
                              <w:szCs w:val="44"/>
                            </w:rPr>
                          </w:pPr>
                          <w:r>
                            <w:rPr>
                              <w:rFonts w:cstheme="minorHAnsi"/>
                              <w:iCs/>
                              <w:color w:val="4472C4" w:themeColor="accent1"/>
                              <w:sz w:val="44"/>
                              <w:szCs w:val="44"/>
                            </w:rPr>
                            <w:t>Current Model Standards of Practice</w:t>
                          </w:r>
                        </w:p>
                        <w:p w:rsidR="00235E38" w:rsidRPr="00A01A4A" w:rsidRDefault="00235E38" w:rsidP="00587213">
                          <w:pPr>
                            <w:spacing w:after="0"/>
                            <w:jc w:val="center"/>
                            <w:rPr>
                              <w:rFonts w:cstheme="minorHAnsi"/>
                              <w:iCs/>
                              <w:color w:val="4472C4" w:themeColor="accent1"/>
                              <w:sz w:val="44"/>
                              <w:szCs w:val="44"/>
                            </w:rPr>
                          </w:pPr>
                          <w:r>
                            <w:rPr>
                              <w:rFonts w:cstheme="minorHAnsi"/>
                              <w:iCs/>
                              <w:color w:val="4472C4" w:themeColor="accent1"/>
                              <w:sz w:val="44"/>
                              <w:szCs w:val="44"/>
                            </w:rPr>
                            <w:t>PGB2-0901</w:t>
                          </w:r>
                        </w:p>
                      </w:txbxContent>
                    </v:textbox>
                    <w10:wrap type="topAndBottom" anchorx="margin"/>
                  </v:shape>
                </w:pict>
              </mc:Fallback>
            </mc:AlternateContent>
          </w:r>
          <w:r w:rsidR="004F6CD0">
            <w:rPr>
              <w:noProof/>
              <w:color w:val="4472C4" w:themeColor="accent1"/>
            </w:rPr>
            <mc:AlternateContent>
              <mc:Choice Requires="wps">
                <w:drawing>
                  <wp:anchor distT="0" distB="0" distL="114300" distR="114300" simplePos="0" relativeHeight="251662336" behindDoc="0" locked="0" layoutInCell="1" allowOverlap="1" wp14:anchorId="6CAF86F4" wp14:editId="24D91DE0">
                    <wp:simplePos x="0" y="0"/>
                    <wp:positionH relativeFrom="margin">
                      <wp:posOffset>0</wp:posOffset>
                    </wp:positionH>
                    <wp:positionV relativeFrom="page">
                      <wp:posOffset>7705090</wp:posOffset>
                    </wp:positionV>
                    <wp:extent cx="6553200" cy="557530"/>
                    <wp:effectExtent l="0" t="0" r="0" b="5080"/>
                    <wp:wrapNone/>
                    <wp:docPr id="142" name="Text Box 142"/>
                    <wp:cNvGraphicFramePr/>
                    <a:graphic xmlns:a="http://schemas.openxmlformats.org/drawingml/2006/main">
                      <a:graphicData uri="http://schemas.microsoft.com/office/word/2010/wordprocessingShape">
                        <wps:wsp>
                          <wps:cNvSpPr txBox="1"/>
                          <wps:spPr>
                            <a:xfrm>
                              <a:off x="0" y="0"/>
                              <a:ext cx="6553200" cy="5575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Viken Mikaelian, CEO, PlannedGiving.Com</w:t>
                                </w:r>
                              </w:p>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 xml:space="preserve">Brian </w:t>
                                </w:r>
                                <w:proofErr w:type="spellStart"/>
                                <w:r w:rsidRPr="00587213">
                                  <w:rPr>
                                    <w:rFonts w:asciiTheme="minorHAnsi" w:hAnsiTheme="minorHAnsi"/>
                                    <w:b/>
                                    <w:sz w:val="20"/>
                                    <w:szCs w:val="20"/>
                                  </w:rPr>
                                  <w:t>Sagrestano</w:t>
                                </w:r>
                                <w:proofErr w:type="spellEnd"/>
                                <w:r w:rsidRPr="00587213">
                                  <w:rPr>
                                    <w:rFonts w:asciiTheme="minorHAnsi" w:hAnsiTheme="minorHAnsi"/>
                                    <w:b/>
                                    <w:sz w:val="20"/>
                                    <w:szCs w:val="20"/>
                                  </w:rPr>
                                  <w:t>, JD, CFRE</w:t>
                                </w:r>
                              </w:p>
                              <w:p w:rsid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Meredith Sossman, Esq, CFRE</w:t>
                                </w:r>
                              </w:p>
                              <w:p w:rsidR="003345FF" w:rsidRPr="003345FF" w:rsidRDefault="003345FF" w:rsidP="00587213">
                                <w:pPr>
                                  <w:pStyle w:val="bodytextintro"/>
                                  <w:spacing w:after="0" w:line="240" w:lineRule="auto"/>
                                  <w:ind w:left="0"/>
                                  <w:jc w:val="center"/>
                                  <w:rPr>
                                    <w:rFonts w:asciiTheme="minorHAnsi" w:hAnsiTheme="minorHAnsi"/>
                                    <w:i/>
                                    <w:sz w:val="20"/>
                                    <w:szCs w:val="20"/>
                                  </w:rPr>
                                </w:pPr>
                                <w:r w:rsidRPr="003345FF">
                                  <w:rPr>
                                    <w:rFonts w:asciiTheme="minorHAnsi" w:hAnsiTheme="minorHAnsi"/>
                                    <w:i/>
                                    <w:sz w:val="20"/>
                                    <w:szCs w:val="20"/>
                                  </w:rPr>
                                  <w:t>Editorial Revisions by</w:t>
                                </w:r>
                              </w:p>
                              <w:p w:rsidR="003345FF" w:rsidRDefault="003345FF" w:rsidP="00587213">
                                <w:pPr>
                                  <w:pStyle w:val="bodytextintro"/>
                                  <w:spacing w:after="0" w:line="240" w:lineRule="auto"/>
                                  <w:ind w:left="0"/>
                                  <w:jc w:val="center"/>
                                  <w:rPr>
                                    <w:rFonts w:asciiTheme="minorHAnsi" w:hAnsiTheme="minorHAnsi"/>
                                    <w:b/>
                                    <w:sz w:val="20"/>
                                    <w:szCs w:val="20"/>
                                  </w:rPr>
                                </w:pPr>
                                <w:proofErr w:type="spellStart"/>
                                <w:r>
                                  <w:rPr>
                                    <w:rFonts w:asciiTheme="minorHAnsi" w:hAnsiTheme="minorHAnsi"/>
                                    <w:b/>
                                    <w:sz w:val="20"/>
                                    <w:szCs w:val="20"/>
                                  </w:rPr>
                                  <w:t>Camilyn</w:t>
                                </w:r>
                                <w:proofErr w:type="spellEnd"/>
                                <w:r>
                                  <w:rPr>
                                    <w:rFonts w:asciiTheme="minorHAnsi" w:hAnsiTheme="minorHAnsi"/>
                                    <w:b/>
                                    <w:sz w:val="20"/>
                                    <w:szCs w:val="20"/>
                                  </w:rPr>
                                  <w:t xml:space="preserve"> Leone, JD</w:t>
                                </w:r>
                              </w:p>
                              <w:p w:rsidR="004F6CD0" w:rsidRPr="00587213" w:rsidRDefault="004F6CD0"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Patrick O’Donnell</w:t>
                                </w:r>
                              </w:p>
                              <w:p w:rsidR="00587213" w:rsidRPr="00587213" w:rsidRDefault="00587213" w:rsidP="00587213">
                                <w:pPr>
                                  <w:pStyle w:val="bodytextintro"/>
                                  <w:spacing w:after="0" w:line="240" w:lineRule="auto"/>
                                  <w:ind w:left="0"/>
                                  <w:jc w:val="center"/>
                                  <w:rPr>
                                    <w:rFonts w:asciiTheme="minorHAnsi" w:hAnsiTheme="minorHAnsi"/>
                                    <w:b/>
                                    <w:sz w:val="20"/>
                                    <w:szCs w:val="20"/>
                                  </w:rPr>
                                </w:pPr>
                              </w:p>
                              <w:p w:rsidR="00587213" w:rsidRDefault="00587213" w:rsidP="00587213">
                                <w:pPr>
                                  <w:pStyle w:val="bodytextintro"/>
                                  <w:spacing w:after="0" w:line="240" w:lineRule="auto"/>
                                  <w:ind w:left="0"/>
                                  <w:jc w:val="center"/>
                                  <w:rPr>
                                    <w:rFonts w:asciiTheme="minorHAnsi" w:hAnsiTheme="minorHAnsi"/>
                                    <w:sz w:val="16"/>
                                    <w:szCs w:val="16"/>
                                  </w:rPr>
                                </w:pPr>
                                <w:r w:rsidRPr="00587213">
                                  <w:rPr>
                                    <w:rFonts w:asciiTheme="minorHAnsi" w:hAnsiTheme="minorHAnsi"/>
                                    <w:sz w:val="16"/>
                                    <w:szCs w:val="16"/>
                                  </w:rPr>
                                  <w:t xml:space="preserve">Copyright </w:t>
                                </w:r>
                                <w:r w:rsidR="00C95806">
                                  <w:rPr>
                                    <w:rFonts w:asciiTheme="minorHAnsi" w:hAnsiTheme="minorHAnsi"/>
                                    <w:sz w:val="16"/>
                                    <w:szCs w:val="16"/>
                                  </w:rPr>
                                  <w:t xml:space="preserve">2018 </w:t>
                                </w:r>
                                <w:r w:rsidRPr="00587213">
                                  <w:rPr>
                                    <w:rFonts w:asciiTheme="minorHAnsi" w:hAnsiTheme="minorHAnsi"/>
                                    <w:sz w:val="16"/>
                                    <w:szCs w:val="16"/>
                                  </w:rPr>
                                  <w:t xml:space="preserve">© </w:t>
                                </w:r>
                                <w:r w:rsidR="00C95806">
                                  <w:rPr>
                                    <w:rFonts w:asciiTheme="minorHAnsi" w:hAnsiTheme="minorHAnsi"/>
                                    <w:sz w:val="16"/>
                                    <w:szCs w:val="16"/>
                                  </w:rPr>
                                  <w:t>PlannedGiving.C</w:t>
                                </w:r>
                                <w:r w:rsidRPr="00587213">
                                  <w:rPr>
                                    <w:rFonts w:asciiTheme="minorHAnsi" w:hAnsiTheme="minorHAnsi"/>
                                    <w:sz w:val="16"/>
                                    <w:szCs w:val="16"/>
                                  </w:rPr>
                                  <w:t>om</w:t>
                                </w:r>
                                <w:r w:rsidR="00C95806">
                                  <w:rPr>
                                    <w:rFonts w:asciiTheme="minorHAnsi" w:hAnsiTheme="minorHAnsi"/>
                                    <w:sz w:val="16"/>
                                    <w:szCs w:val="16"/>
                                  </w:rPr>
                                  <w:t>, Inc</w:t>
                                </w:r>
                                <w:r w:rsidRPr="00587213">
                                  <w:rPr>
                                    <w:rFonts w:asciiTheme="minorHAnsi" w:hAnsiTheme="minorHAnsi"/>
                                    <w:sz w:val="16"/>
                                    <w:szCs w:val="16"/>
                                  </w:rPr>
                                  <w:t>. All Rights Reserved.</w:t>
                                </w:r>
                              </w:p>
                              <w:p w:rsidR="00C95806" w:rsidRPr="00587213" w:rsidRDefault="00C95806" w:rsidP="00587213">
                                <w:pPr>
                                  <w:pStyle w:val="bodytextintro"/>
                                  <w:spacing w:after="0" w:line="240" w:lineRule="auto"/>
                                  <w:ind w:left="0"/>
                                  <w:jc w:val="center"/>
                                  <w:rPr>
                                    <w:rFonts w:asciiTheme="minorHAnsi" w:hAnsiTheme="minorHAnsi"/>
                                    <w:sz w:val="16"/>
                                    <w:szCs w:val="16"/>
                                  </w:rPr>
                                </w:pPr>
                                <w:r>
                                  <w:rPr>
                                    <w:rFonts w:asciiTheme="minorHAnsi" w:hAnsiTheme="minorHAnsi"/>
                                    <w:sz w:val="16"/>
                                    <w:szCs w:val="16"/>
                                  </w:rPr>
                                  <w:t>Contents licensed only to the nonprofit who purchased it.</w:t>
                                </w:r>
                              </w:p>
                              <w:p w:rsidR="00587213" w:rsidRDefault="00587213" w:rsidP="00587213">
                                <w:pPr>
                                  <w:pStyle w:val="bodytextintro"/>
                                  <w:spacing w:after="0" w:line="240" w:lineRule="auto"/>
                                  <w:ind w:left="0"/>
                                  <w:jc w:val="center"/>
                                  <w:rPr>
                                    <w:rFonts w:asciiTheme="minorHAnsi" w:hAnsiTheme="minorHAnsi"/>
                                    <w:b/>
                                    <w:sz w:val="22"/>
                                    <w:szCs w:val="22"/>
                                  </w:rPr>
                                </w:pPr>
                              </w:p>
                              <w:p w:rsidR="00587213" w:rsidRDefault="00587213" w:rsidP="00587213">
                                <w:pPr>
                                  <w:pStyle w:val="Footer"/>
                                  <w:jc w:val="center"/>
                                  <w:rPr>
                                    <w:sz w:val="18"/>
                                    <w:szCs w:val="18"/>
                                  </w:rPr>
                                </w:pPr>
                                <w:r w:rsidRPr="002F6CBB">
                                  <w:rPr>
                                    <w:sz w:val="18"/>
                                    <w:szCs w:val="18"/>
                                  </w:rPr>
                                  <w:t>1288 Valley Forge Road, Unit</w:t>
                                </w:r>
                                <w:r>
                                  <w:rPr>
                                    <w:sz w:val="18"/>
                                    <w:szCs w:val="18"/>
                                  </w:rPr>
                                  <w:t xml:space="preserve"> 82, Phoenixville, PA  19460</w:t>
                                </w:r>
                              </w:p>
                              <w:p w:rsidR="00587213" w:rsidRPr="002F6CBB" w:rsidRDefault="00587213" w:rsidP="00587213">
                                <w:pPr>
                                  <w:pStyle w:val="Footer"/>
                                  <w:jc w:val="center"/>
                                  <w:rPr>
                                    <w:sz w:val="18"/>
                                    <w:szCs w:val="18"/>
                                  </w:rPr>
                                </w:pPr>
                                <w:r w:rsidRPr="002F6CBB">
                                  <w:rPr>
                                    <w:sz w:val="18"/>
                                    <w:szCs w:val="18"/>
                                  </w:rPr>
                                  <w:sym w:font="Wingdings" w:char="F028"/>
                                </w:r>
                                <w:r w:rsidRPr="002F6CBB">
                                  <w:rPr>
                                    <w:sz w:val="18"/>
                                    <w:szCs w:val="18"/>
                                  </w:rPr>
                                  <w:t xml:space="preserve"> 800-490-7090    </w:t>
                                </w:r>
                                <w:r w:rsidRPr="002F6CBB">
                                  <w:rPr>
                                    <w:sz w:val="18"/>
                                    <w:szCs w:val="18"/>
                                  </w:rPr>
                                  <w:sym w:font="Wingdings" w:char="F02A"/>
                                </w:r>
                                <w:r w:rsidRPr="002F6CBB">
                                  <w:rPr>
                                    <w:sz w:val="18"/>
                                    <w:szCs w:val="18"/>
                                  </w:rPr>
                                  <w:t xml:space="preserve">    Success@PlannedGiving.Com</w:t>
                                </w:r>
                              </w:p>
                              <w:p w:rsidR="00587213" w:rsidRDefault="00587213">
                                <w:pPr>
                                  <w:pStyle w:val="NoSpacing"/>
                                  <w:jc w:val="center"/>
                                  <w:rPr>
                                    <w:color w:val="4472C4"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 w14:anchorId="6CAF86F4" id="Text Box 142" o:spid="_x0000_s1027" type="#_x0000_t202" style="position:absolute;margin-left:0;margin-top:606.7pt;width:516pt;height:43.9pt;z-index:251662336;visibility:visible;mso-wrap-style:square;mso-width-percent:1000;mso-height-percent:0;mso-wrap-distance-left:9pt;mso-wrap-distance-top:0;mso-wrap-distance-right:9pt;mso-wrap-distance-bottom:0;mso-position-horizontal:absolute;mso-position-horizontal-relative:margin;mso-position-vertical:absolute;mso-position-vertical-relative:page;mso-width-percent:100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" filled="f" stroked="f" strokeweight=".5pt">
                    <v:textbox style="mso-fit-shape-to-text:t" inset="0,0,0,0">
                      <w:txbxContent>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Viken Mikaelian, CEO, PlannedGiving.Com</w:t>
                          </w:r>
                        </w:p>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 xml:space="preserve">Brian </w:t>
                          </w:r>
                          <w:proofErr w:type="spellStart"/>
                          <w:r w:rsidRPr="00587213">
                            <w:rPr>
                              <w:rFonts w:asciiTheme="minorHAnsi" w:hAnsiTheme="minorHAnsi"/>
                              <w:b/>
                              <w:sz w:val="20"/>
                              <w:szCs w:val="20"/>
                            </w:rPr>
                            <w:t>Sagrestano</w:t>
                          </w:r>
                          <w:proofErr w:type="spellEnd"/>
                          <w:r w:rsidRPr="00587213">
                            <w:rPr>
                              <w:rFonts w:asciiTheme="minorHAnsi" w:hAnsiTheme="minorHAnsi"/>
                              <w:b/>
                              <w:sz w:val="20"/>
                              <w:szCs w:val="20"/>
                            </w:rPr>
                            <w:t>, JD, CFRE</w:t>
                          </w:r>
                        </w:p>
                        <w:p w:rsid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Meredith Sossman, Esq, CFRE</w:t>
                          </w:r>
                        </w:p>
                        <w:p w:rsidR="003345FF" w:rsidRPr="003345FF" w:rsidRDefault="003345FF" w:rsidP="00587213">
                          <w:pPr>
                            <w:pStyle w:val="bodytextintro"/>
                            <w:spacing w:after="0" w:line="240" w:lineRule="auto"/>
                            <w:ind w:left="0"/>
                            <w:jc w:val="center"/>
                            <w:rPr>
                              <w:rFonts w:asciiTheme="minorHAnsi" w:hAnsiTheme="minorHAnsi"/>
                              <w:i/>
                              <w:sz w:val="20"/>
                              <w:szCs w:val="20"/>
                            </w:rPr>
                          </w:pPr>
                          <w:r w:rsidRPr="003345FF">
                            <w:rPr>
                              <w:rFonts w:asciiTheme="minorHAnsi" w:hAnsiTheme="minorHAnsi"/>
                              <w:i/>
                              <w:sz w:val="20"/>
                              <w:szCs w:val="20"/>
                            </w:rPr>
                            <w:t>Editorial Revisions by</w:t>
                          </w:r>
                        </w:p>
                        <w:p w:rsidR="003345FF" w:rsidRDefault="003345FF" w:rsidP="00587213">
                          <w:pPr>
                            <w:pStyle w:val="bodytextintro"/>
                            <w:spacing w:after="0" w:line="240" w:lineRule="auto"/>
                            <w:ind w:left="0"/>
                            <w:jc w:val="center"/>
                            <w:rPr>
                              <w:rFonts w:asciiTheme="minorHAnsi" w:hAnsiTheme="minorHAnsi"/>
                              <w:b/>
                              <w:sz w:val="20"/>
                              <w:szCs w:val="20"/>
                            </w:rPr>
                          </w:pPr>
                          <w:proofErr w:type="spellStart"/>
                          <w:r>
                            <w:rPr>
                              <w:rFonts w:asciiTheme="minorHAnsi" w:hAnsiTheme="minorHAnsi"/>
                              <w:b/>
                              <w:sz w:val="20"/>
                              <w:szCs w:val="20"/>
                            </w:rPr>
                            <w:t>Camilyn</w:t>
                          </w:r>
                          <w:proofErr w:type="spellEnd"/>
                          <w:r>
                            <w:rPr>
                              <w:rFonts w:asciiTheme="minorHAnsi" w:hAnsiTheme="minorHAnsi"/>
                              <w:b/>
                              <w:sz w:val="20"/>
                              <w:szCs w:val="20"/>
                            </w:rPr>
                            <w:t xml:space="preserve"> Leone, JD</w:t>
                          </w:r>
                        </w:p>
                        <w:p w:rsidR="004F6CD0" w:rsidRPr="00587213" w:rsidRDefault="004F6CD0"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Patrick O’Donnell</w:t>
                          </w:r>
                        </w:p>
                        <w:p w:rsidR="00587213" w:rsidRPr="00587213" w:rsidRDefault="00587213" w:rsidP="00587213">
                          <w:pPr>
                            <w:pStyle w:val="bodytextintro"/>
                            <w:spacing w:after="0" w:line="240" w:lineRule="auto"/>
                            <w:ind w:left="0"/>
                            <w:jc w:val="center"/>
                            <w:rPr>
                              <w:rFonts w:asciiTheme="minorHAnsi" w:hAnsiTheme="minorHAnsi"/>
                              <w:b/>
                              <w:sz w:val="20"/>
                              <w:szCs w:val="20"/>
                            </w:rPr>
                          </w:pPr>
                        </w:p>
                        <w:p w:rsidR="00587213" w:rsidRDefault="00587213" w:rsidP="00587213">
                          <w:pPr>
                            <w:pStyle w:val="bodytextintro"/>
                            <w:spacing w:after="0" w:line="240" w:lineRule="auto"/>
                            <w:ind w:left="0"/>
                            <w:jc w:val="center"/>
                            <w:rPr>
                              <w:rFonts w:asciiTheme="minorHAnsi" w:hAnsiTheme="minorHAnsi"/>
                              <w:sz w:val="16"/>
                              <w:szCs w:val="16"/>
                            </w:rPr>
                          </w:pPr>
                          <w:r w:rsidRPr="00587213">
                            <w:rPr>
                              <w:rFonts w:asciiTheme="minorHAnsi" w:hAnsiTheme="minorHAnsi"/>
                              <w:sz w:val="16"/>
                              <w:szCs w:val="16"/>
                            </w:rPr>
                            <w:t xml:space="preserve">Copyright </w:t>
                          </w:r>
                          <w:r w:rsidR="00C95806">
                            <w:rPr>
                              <w:rFonts w:asciiTheme="minorHAnsi" w:hAnsiTheme="minorHAnsi"/>
                              <w:sz w:val="16"/>
                              <w:szCs w:val="16"/>
                            </w:rPr>
                            <w:t xml:space="preserve">2018 </w:t>
                          </w:r>
                          <w:r w:rsidRPr="00587213">
                            <w:rPr>
                              <w:rFonts w:asciiTheme="minorHAnsi" w:hAnsiTheme="minorHAnsi"/>
                              <w:sz w:val="16"/>
                              <w:szCs w:val="16"/>
                            </w:rPr>
                            <w:t xml:space="preserve">© </w:t>
                          </w:r>
                          <w:r w:rsidR="00C95806">
                            <w:rPr>
                              <w:rFonts w:asciiTheme="minorHAnsi" w:hAnsiTheme="minorHAnsi"/>
                              <w:sz w:val="16"/>
                              <w:szCs w:val="16"/>
                            </w:rPr>
                            <w:t>PlannedGiving.C</w:t>
                          </w:r>
                          <w:r w:rsidRPr="00587213">
                            <w:rPr>
                              <w:rFonts w:asciiTheme="minorHAnsi" w:hAnsiTheme="minorHAnsi"/>
                              <w:sz w:val="16"/>
                              <w:szCs w:val="16"/>
                            </w:rPr>
                            <w:t>om</w:t>
                          </w:r>
                          <w:r w:rsidR="00C95806">
                            <w:rPr>
                              <w:rFonts w:asciiTheme="minorHAnsi" w:hAnsiTheme="minorHAnsi"/>
                              <w:sz w:val="16"/>
                              <w:szCs w:val="16"/>
                            </w:rPr>
                            <w:t>, Inc</w:t>
                          </w:r>
                          <w:r w:rsidRPr="00587213">
                            <w:rPr>
                              <w:rFonts w:asciiTheme="minorHAnsi" w:hAnsiTheme="minorHAnsi"/>
                              <w:sz w:val="16"/>
                              <w:szCs w:val="16"/>
                            </w:rPr>
                            <w:t>. All Rights Reserved.</w:t>
                          </w:r>
                        </w:p>
                        <w:p w:rsidR="00C95806" w:rsidRPr="00587213" w:rsidRDefault="00C95806" w:rsidP="00587213">
                          <w:pPr>
                            <w:pStyle w:val="bodytextintro"/>
                            <w:spacing w:after="0" w:line="240" w:lineRule="auto"/>
                            <w:ind w:left="0"/>
                            <w:jc w:val="center"/>
                            <w:rPr>
                              <w:rFonts w:asciiTheme="minorHAnsi" w:hAnsiTheme="minorHAnsi"/>
                              <w:sz w:val="16"/>
                              <w:szCs w:val="16"/>
                            </w:rPr>
                          </w:pPr>
                          <w:r>
                            <w:rPr>
                              <w:rFonts w:asciiTheme="minorHAnsi" w:hAnsiTheme="minorHAnsi"/>
                              <w:sz w:val="16"/>
                              <w:szCs w:val="16"/>
                            </w:rPr>
                            <w:t>Contents licensed only to the nonprofit who purchased it.</w:t>
                          </w:r>
                        </w:p>
                        <w:p w:rsidR="00587213" w:rsidRDefault="00587213" w:rsidP="00587213">
                          <w:pPr>
                            <w:pStyle w:val="bodytextintro"/>
                            <w:spacing w:after="0" w:line="240" w:lineRule="auto"/>
                            <w:ind w:left="0"/>
                            <w:jc w:val="center"/>
                            <w:rPr>
                              <w:rFonts w:asciiTheme="minorHAnsi" w:hAnsiTheme="minorHAnsi"/>
                              <w:b/>
                              <w:sz w:val="22"/>
                              <w:szCs w:val="22"/>
                            </w:rPr>
                          </w:pPr>
                        </w:p>
                        <w:p w:rsidR="00587213" w:rsidRDefault="00587213" w:rsidP="00587213">
                          <w:pPr>
                            <w:pStyle w:val="Footer"/>
                            <w:jc w:val="center"/>
                            <w:rPr>
                              <w:sz w:val="18"/>
                              <w:szCs w:val="18"/>
                            </w:rPr>
                          </w:pPr>
                          <w:r w:rsidRPr="002F6CBB">
                            <w:rPr>
                              <w:sz w:val="18"/>
                              <w:szCs w:val="18"/>
                            </w:rPr>
                            <w:t>1288 Valley Forge Road, Unit</w:t>
                          </w:r>
                          <w:r>
                            <w:rPr>
                              <w:sz w:val="18"/>
                              <w:szCs w:val="18"/>
                            </w:rPr>
                            <w:t xml:space="preserve"> 82, Phoenixville, PA  19460</w:t>
                          </w:r>
                        </w:p>
                        <w:p w:rsidR="00587213" w:rsidRPr="002F6CBB" w:rsidRDefault="00587213" w:rsidP="00587213">
                          <w:pPr>
                            <w:pStyle w:val="Footer"/>
                            <w:jc w:val="center"/>
                            <w:rPr>
                              <w:sz w:val="18"/>
                              <w:szCs w:val="18"/>
                            </w:rPr>
                          </w:pPr>
                          <w:r w:rsidRPr="002F6CBB">
                            <w:rPr>
                              <w:sz w:val="18"/>
                              <w:szCs w:val="18"/>
                            </w:rPr>
                            <w:sym w:font="Wingdings" w:char="F028"/>
                          </w:r>
                          <w:r w:rsidRPr="002F6CBB">
                            <w:rPr>
                              <w:sz w:val="18"/>
                              <w:szCs w:val="18"/>
                            </w:rPr>
                            <w:t xml:space="preserve"> 800-490-7090    </w:t>
                          </w:r>
                          <w:r w:rsidRPr="002F6CBB">
                            <w:rPr>
                              <w:sz w:val="18"/>
                              <w:szCs w:val="18"/>
                            </w:rPr>
                            <w:sym w:font="Wingdings" w:char="F02A"/>
                          </w:r>
                          <w:r w:rsidRPr="002F6CBB">
                            <w:rPr>
                              <w:sz w:val="18"/>
                              <w:szCs w:val="18"/>
                            </w:rPr>
                            <w:t xml:space="preserve">    Success@PlannedGiving.Com</w:t>
                          </w:r>
                        </w:p>
                        <w:p w:rsidR="00587213" w:rsidRDefault="00587213">
                          <w:pPr>
                            <w:pStyle w:val="NoSpacing"/>
                            <w:jc w:val="center"/>
                            <w:rPr>
                              <w:color w:val="4472C4" w:themeColor="accent1"/>
                            </w:rPr>
                          </w:pPr>
                        </w:p>
                      </w:txbxContent>
                    </v:textbox>
                    <w10:wrap anchorx="margin" anchory="page"/>
                  </v:shape>
                </w:pict>
              </mc:Fallback>
            </mc:AlternateContent>
          </w:r>
          <w:r w:rsidR="00587213">
            <w:rPr>
              <w:i/>
            </w:rPr>
            <w:br w:type="page"/>
          </w:r>
        </w:p>
      </w:sdtContent>
    </w:sdt>
    <w:p w:rsidR="00235E38" w:rsidRPr="0003207B" w:rsidRDefault="0003207B" w:rsidP="00235E38">
      <w:pPr>
        <w:rPr>
          <w:rFonts w:asciiTheme="majorHAnsi" w:hAnsiTheme="majorHAnsi" w:cstheme="majorHAnsi"/>
          <w:sz w:val="28"/>
          <w:szCs w:val="28"/>
        </w:rPr>
      </w:pPr>
      <w:r>
        <w:rPr>
          <w:rFonts w:asciiTheme="majorHAnsi" w:hAnsiTheme="majorHAnsi" w:cstheme="majorHAnsi"/>
          <w:sz w:val="28"/>
          <w:szCs w:val="28"/>
        </w:rPr>
        <w:lastRenderedPageBreak/>
        <w:t>WEEK</w:t>
      </w:r>
      <w:r w:rsidR="00235E38" w:rsidRPr="0003207B">
        <w:rPr>
          <w:rFonts w:asciiTheme="majorHAnsi" w:hAnsiTheme="majorHAnsi" w:cstheme="majorHAnsi"/>
          <w:sz w:val="28"/>
          <w:szCs w:val="28"/>
        </w:rPr>
        <w:t xml:space="preserve"> 9</w:t>
      </w:r>
    </w:p>
    <w:p w:rsidR="00235E38" w:rsidRPr="0003207B" w:rsidRDefault="00235E38" w:rsidP="00235E38">
      <w:pPr>
        <w:rPr>
          <w:rFonts w:cstheme="minorHAnsi"/>
          <w:b/>
          <w:i/>
          <w:sz w:val="24"/>
          <w:szCs w:val="24"/>
        </w:rPr>
      </w:pPr>
      <w:r w:rsidRPr="0003207B">
        <w:rPr>
          <w:rFonts w:asciiTheme="majorHAnsi" w:hAnsiTheme="majorHAnsi" w:cstheme="majorHAnsi"/>
          <w:sz w:val="28"/>
          <w:szCs w:val="28"/>
        </w:rPr>
        <w:t>Ethics and Complying with Regulations</w:t>
      </w:r>
      <w:r w:rsidRPr="0003207B">
        <w:rPr>
          <w:rFonts w:cstheme="minorHAnsi"/>
          <w:sz w:val="24"/>
          <w:szCs w:val="24"/>
        </w:rPr>
        <w:br/>
      </w:r>
    </w:p>
    <w:tbl>
      <w:tblPr>
        <w:tblStyle w:val="TableGrid"/>
        <w:tblW w:w="0" w:type="auto"/>
        <w:tblLook w:val="04A0" w:firstRow="1" w:lastRow="0" w:firstColumn="1" w:lastColumn="0" w:noHBand="0" w:noVBand="1"/>
      </w:tblPr>
      <w:tblGrid>
        <w:gridCol w:w="2068"/>
        <w:gridCol w:w="7282"/>
      </w:tblGrid>
      <w:tr w:rsidR="00235E38" w:rsidRPr="0003207B" w:rsidTr="006A6D70">
        <w:tc>
          <w:tcPr>
            <w:tcW w:w="2068" w:type="dxa"/>
          </w:tcPr>
          <w:p w:rsidR="00235E38" w:rsidRPr="0003207B" w:rsidRDefault="00235E38" w:rsidP="006A6D70">
            <w:pPr>
              <w:rPr>
                <w:rFonts w:cstheme="minorHAnsi"/>
              </w:rPr>
            </w:pPr>
            <w:r w:rsidRPr="0003207B">
              <w:rPr>
                <w:rFonts w:cstheme="minorHAnsi"/>
                <w:b/>
              </w:rPr>
              <w:t>BACKGROUND</w:t>
            </w:r>
          </w:p>
        </w:tc>
        <w:tc>
          <w:tcPr>
            <w:tcW w:w="7282" w:type="dxa"/>
          </w:tcPr>
          <w:p w:rsidR="00235E38" w:rsidRPr="0003207B" w:rsidRDefault="00235E38" w:rsidP="006A6D70">
            <w:pPr>
              <w:rPr>
                <w:rFonts w:cstheme="minorHAnsi"/>
              </w:rPr>
            </w:pPr>
            <w:r w:rsidRPr="0003207B">
              <w:rPr>
                <w:rFonts w:cstheme="minorHAnsi"/>
              </w:rPr>
              <w:t>Rules of Ethics</w:t>
            </w:r>
          </w:p>
        </w:tc>
      </w:tr>
      <w:tr w:rsidR="00235E38" w:rsidRPr="0003207B" w:rsidTr="006A6D70">
        <w:tc>
          <w:tcPr>
            <w:tcW w:w="2068" w:type="dxa"/>
          </w:tcPr>
          <w:p w:rsidR="00235E38" w:rsidRPr="0003207B" w:rsidRDefault="00235E38" w:rsidP="006A6D70">
            <w:pPr>
              <w:rPr>
                <w:rFonts w:cstheme="minorHAnsi"/>
              </w:rPr>
            </w:pPr>
          </w:p>
        </w:tc>
        <w:tc>
          <w:tcPr>
            <w:tcW w:w="7282" w:type="dxa"/>
          </w:tcPr>
          <w:p w:rsidR="00235E38" w:rsidRPr="0003207B" w:rsidRDefault="00235E38" w:rsidP="006A6D70">
            <w:pPr>
              <w:rPr>
                <w:rFonts w:cstheme="minorHAnsi"/>
              </w:rPr>
            </w:pPr>
            <w:r w:rsidRPr="0003207B">
              <w:rPr>
                <w:rFonts w:cstheme="minorHAnsi"/>
              </w:rPr>
              <w:t>State Regulation</w:t>
            </w:r>
          </w:p>
        </w:tc>
      </w:tr>
      <w:tr w:rsidR="00235E38" w:rsidRPr="0003207B" w:rsidTr="006A6D70">
        <w:tc>
          <w:tcPr>
            <w:tcW w:w="2068" w:type="dxa"/>
          </w:tcPr>
          <w:p w:rsidR="00235E38" w:rsidRPr="0003207B" w:rsidRDefault="00235E38" w:rsidP="006A6D70">
            <w:pPr>
              <w:rPr>
                <w:rFonts w:cstheme="minorHAnsi"/>
              </w:rPr>
            </w:pPr>
          </w:p>
        </w:tc>
        <w:tc>
          <w:tcPr>
            <w:tcW w:w="7282" w:type="dxa"/>
          </w:tcPr>
          <w:p w:rsidR="00235E38" w:rsidRPr="0003207B" w:rsidRDefault="00235E38" w:rsidP="006A6D70">
            <w:pPr>
              <w:rPr>
                <w:rFonts w:cstheme="minorHAnsi"/>
              </w:rPr>
            </w:pPr>
            <w:r w:rsidRPr="0003207B">
              <w:rPr>
                <w:rFonts w:cstheme="minorHAnsi"/>
              </w:rPr>
              <w:t>Registration to Do Business</w:t>
            </w:r>
          </w:p>
        </w:tc>
      </w:tr>
      <w:tr w:rsidR="00235E38" w:rsidRPr="0003207B" w:rsidTr="006A6D70">
        <w:tc>
          <w:tcPr>
            <w:tcW w:w="2068" w:type="dxa"/>
          </w:tcPr>
          <w:p w:rsidR="00235E38" w:rsidRPr="0003207B" w:rsidRDefault="00235E38" w:rsidP="006A6D70">
            <w:pPr>
              <w:rPr>
                <w:rFonts w:cstheme="minorHAnsi"/>
              </w:rPr>
            </w:pPr>
          </w:p>
        </w:tc>
        <w:tc>
          <w:tcPr>
            <w:tcW w:w="7282" w:type="dxa"/>
          </w:tcPr>
          <w:p w:rsidR="00235E38" w:rsidRPr="0003207B" w:rsidRDefault="00235E38" w:rsidP="006A6D70">
            <w:pPr>
              <w:rPr>
                <w:rFonts w:cstheme="minorHAnsi"/>
              </w:rPr>
            </w:pPr>
            <w:r w:rsidRPr="0003207B">
              <w:rPr>
                <w:rFonts w:cstheme="minorHAnsi"/>
              </w:rPr>
              <w:t>Registration to Solicit</w:t>
            </w:r>
          </w:p>
        </w:tc>
      </w:tr>
      <w:tr w:rsidR="00235E38" w:rsidRPr="0003207B" w:rsidTr="006A6D70">
        <w:tc>
          <w:tcPr>
            <w:tcW w:w="2068" w:type="dxa"/>
          </w:tcPr>
          <w:p w:rsidR="00235E38" w:rsidRPr="0003207B" w:rsidRDefault="00235E38" w:rsidP="006A6D70">
            <w:pPr>
              <w:rPr>
                <w:rFonts w:cstheme="minorHAnsi"/>
              </w:rPr>
            </w:pPr>
          </w:p>
        </w:tc>
        <w:tc>
          <w:tcPr>
            <w:tcW w:w="7282" w:type="dxa"/>
          </w:tcPr>
          <w:p w:rsidR="00235E38" w:rsidRPr="0003207B" w:rsidRDefault="00235E38" w:rsidP="006A6D70">
            <w:pPr>
              <w:rPr>
                <w:rFonts w:cstheme="minorHAnsi"/>
              </w:rPr>
            </w:pPr>
            <w:r w:rsidRPr="0003207B">
              <w:rPr>
                <w:rFonts w:cstheme="minorHAnsi"/>
              </w:rPr>
              <w:t>Registration to Issue Charitable Gift Annuities</w:t>
            </w:r>
          </w:p>
        </w:tc>
      </w:tr>
      <w:tr w:rsidR="00235E38" w:rsidRPr="0003207B" w:rsidTr="006A6D70">
        <w:tc>
          <w:tcPr>
            <w:tcW w:w="2068" w:type="dxa"/>
          </w:tcPr>
          <w:p w:rsidR="00235E38" w:rsidRPr="0003207B" w:rsidRDefault="00235E38" w:rsidP="006A6D70">
            <w:pPr>
              <w:rPr>
                <w:rFonts w:cstheme="minorHAnsi"/>
              </w:rPr>
            </w:pPr>
            <w:r w:rsidRPr="0003207B">
              <w:rPr>
                <w:rFonts w:cstheme="minorHAnsi"/>
                <w:b/>
              </w:rPr>
              <w:t>PROJECTS</w:t>
            </w:r>
          </w:p>
        </w:tc>
        <w:tc>
          <w:tcPr>
            <w:tcW w:w="7282" w:type="dxa"/>
          </w:tcPr>
          <w:p w:rsidR="00235E38" w:rsidRPr="0003207B" w:rsidRDefault="00235E38" w:rsidP="006A6D70">
            <w:pPr>
              <w:rPr>
                <w:rFonts w:cstheme="minorHAnsi"/>
              </w:rPr>
            </w:pPr>
            <w:r w:rsidRPr="0003207B">
              <w:rPr>
                <w:rFonts w:cstheme="minorHAnsi"/>
              </w:rPr>
              <w:t>Adopt the Model Standards of Practice for the Charitable Gift Planner</w:t>
            </w:r>
          </w:p>
        </w:tc>
      </w:tr>
      <w:tr w:rsidR="00235E38" w:rsidRPr="0003207B" w:rsidTr="006A6D70">
        <w:tc>
          <w:tcPr>
            <w:tcW w:w="2068" w:type="dxa"/>
          </w:tcPr>
          <w:p w:rsidR="00235E38" w:rsidRPr="0003207B" w:rsidRDefault="00235E38" w:rsidP="006A6D70">
            <w:pPr>
              <w:rPr>
                <w:rFonts w:cstheme="minorHAnsi"/>
              </w:rPr>
            </w:pPr>
          </w:p>
        </w:tc>
        <w:tc>
          <w:tcPr>
            <w:tcW w:w="7282" w:type="dxa"/>
          </w:tcPr>
          <w:p w:rsidR="00235E38" w:rsidRPr="0003207B" w:rsidRDefault="00235E38" w:rsidP="006A6D70">
            <w:pPr>
              <w:rPr>
                <w:rFonts w:cstheme="minorHAnsi"/>
              </w:rPr>
            </w:pPr>
            <w:r w:rsidRPr="0003207B">
              <w:rPr>
                <w:rFonts w:cstheme="minorHAnsi"/>
              </w:rPr>
              <w:t>Review Compliance with State Regulations</w:t>
            </w:r>
          </w:p>
        </w:tc>
      </w:tr>
      <w:tr w:rsidR="00235E38" w:rsidRPr="0003207B" w:rsidTr="006A6D70">
        <w:tc>
          <w:tcPr>
            <w:tcW w:w="2068" w:type="dxa"/>
            <w:shd w:val="clear" w:color="auto" w:fill="E7E6E6" w:themeFill="background2"/>
          </w:tcPr>
          <w:p w:rsidR="00235E38" w:rsidRPr="0003207B" w:rsidRDefault="00235E38" w:rsidP="006A6D70">
            <w:pPr>
              <w:rPr>
                <w:rFonts w:cstheme="minorHAnsi"/>
              </w:rPr>
            </w:pPr>
            <w:r w:rsidRPr="0003207B">
              <w:rPr>
                <w:rFonts w:cstheme="minorHAnsi"/>
                <w:b/>
              </w:rPr>
              <w:t>DOCUMENTS</w:t>
            </w:r>
          </w:p>
        </w:tc>
        <w:tc>
          <w:tcPr>
            <w:tcW w:w="7282" w:type="dxa"/>
            <w:shd w:val="clear" w:color="auto" w:fill="E7E6E6" w:themeFill="background2"/>
          </w:tcPr>
          <w:p w:rsidR="00235E38" w:rsidRPr="0003207B" w:rsidRDefault="00235E38" w:rsidP="006A6D70">
            <w:pPr>
              <w:rPr>
                <w:rFonts w:cstheme="minorHAnsi"/>
              </w:rPr>
            </w:pPr>
            <w:r w:rsidRPr="0003207B">
              <w:rPr>
                <w:rFonts w:cstheme="minorHAnsi"/>
              </w:rPr>
              <w:t>PGB2-0901 – Current PPP Model Standards of Practice</w:t>
            </w:r>
          </w:p>
        </w:tc>
      </w:tr>
    </w:tbl>
    <w:p w:rsidR="001D5A84" w:rsidRPr="0003207B" w:rsidRDefault="001D5A84" w:rsidP="0047444C">
      <w:pPr>
        <w:spacing w:after="0" w:line="240" w:lineRule="auto"/>
        <w:rPr>
          <w:rFonts w:cstheme="minorHAnsi"/>
          <w:color w:val="000000"/>
          <w:spacing w:val="-2"/>
          <w:position w:val="2"/>
          <w:sz w:val="24"/>
          <w:szCs w:val="24"/>
        </w:rPr>
      </w:pPr>
    </w:p>
    <w:p w:rsidR="00235E38" w:rsidRPr="0003207B" w:rsidRDefault="00235E38" w:rsidP="00235E38">
      <w:pPr>
        <w:spacing w:after="120"/>
        <w:rPr>
          <w:rFonts w:cstheme="minorHAnsi"/>
          <w:sz w:val="24"/>
          <w:szCs w:val="24"/>
        </w:rPr>
      </w:pPr>
    </w:p>
    <w:p w:rsidR="00235E38" w:rsidRPr="0003207B" w:rsidRDefault="00235E38" w:rsidP="00235E38">
      <w:pPr>
        <w:spacing w:after="120"/>
        <w:ind w:left="2891" w:hangingChars="1200" w:hanging="2891"/>
        <w:rPr>
          <w:rFonts w:cstheme="minorHAnsi"/>
          <w:sz w:val="24"/>
          <w:szCs w:val="24"/>
        </w:rPr>
      </w:pPr>
      <w:r w:rsidRPr="0003207B">
        <w:rPr>
          <w:rFonts w:cstheme="minorHAnsi"/>
          <w:b/>
          <w:sz w:val="24"/>
          <w:szCs w:val="24"/>
        </w:rPr>
        <w:t xml:space="preserve">Time required: </w:t>
      </w:r>
      <w:r w:rsidRPr="0003207B">
        <w:rPr>
          <w:rFonts w:cstheme="minorHAnsi"/>
          <w:b/>
          <w:sz w:val="24"/>
          <w:szCs w:val="24"/>
        </w:rPr>
        <w:tab/>
      </w:r>
      <w:r w:rsidRPr="0003207B">
        <w:rPr>
          <w:rFonts w:cstheme="minorHAnsi"/>
          <w:sz w:val="24"/>
          <w:szCs w:val="24"/>
        </w:rPr>
        <w:t>1 hour</w:t>
      </w:r>
    </w:p>
    <w:p w:rsidR="00235E38" w:rsidRPr="0003207B" w:rsidRDefault="00235E38" w:rsidP="00235E38">
      <w:pPr>
        <w:spacing w:after="120"/>
        <w:ind w:left="2880" w:hanging="2880"/>
        <w:rPr>
          <w:rFonts w:cstheme="minorHAnsi"/>
          <w:sz w:val="24"/>
          <w:szCs w:val="24"/>
        </w:rPr>
      </w:pPr>
      <w:r w:rsidRPr="0003207B">
        <w:rPr>
          <w:rFonts w:cstheme="minorHAnsi"/>
          <w:b/>
          <w:sz w:val="24"/>
          <w:szCs w:val="24"/>
        </w:rPr>
        <w:t xml:space="preserve">What it covers: </w:t>
      </w:r>
      <w:r w:rsidRPr="0003207B">
        <w:rPr>
          <w:rFonts w:cstheme="minorHAnsi"/>
          <w:b/>
          <w:sz w:val="24"/>
          <w:szCs w:val="24"/>
        </w:rPr>
        <w:tab/>
      </w:r>
      <w:r w:rsidRPr="0003207B">
        <w:rPr>
          <w:rFonts w:cstheme="minorHAnsi"/>
          <w:sz w:val="24"/>
          <w:szCs w:val="24"/>
        </w:rPr>
        <w:t>Introduction to planned giving ethics and regulations.</w:t>
      </w:r>
    </w:p>
    <w:p w:rsidR="00235E38" w:rsidRPr="0003207B" w:rsidRDefault="00235E38" w:rsidP="00235E38">
      <w:pPr>
        <w:spacing w:after="120"/>
        <w:ind w:left="2891" w:hangingChars="1200" w:hanging="2891"/>
        <w:rPr>
          <w:rFonts w:cstheme="minorHAnsi"/>
          <w:sz w:val="24"/>
          <w:szCs w:val="24"/>
        </w:rPr>
      </w:pPr>
      <w:r w:rsidRPr="0003207B">
        <w:rPr>
          <w:rFonts w:cstheme="minorHAnsi"/>
          <w:b/>
          <w:sz w:val="24"/>
          <w:szCs w:val="24"/>
        </w:rPr>
        <w:t xml:space="preserve">Why: </w:t>
      </w:r>
      <w:r w:rsidRPr="0003207B">
        <w:rPr>
          <w:rFonts w:cstheme="minorHAnsi"/>
          <w:b/>
          <w:sz w:val="24"/>
          <w:szCs w:val="24"/>
        </w:rPr>
        <w:tab/>
      </w:r>
      <w:r w:rsidRPr="0003207B">
        <w:rPr>
          <w:rFonts w:cstheme="minorHAnsi"/>
          <w:sz w:val="24"/>
          <w:szCs w:val="24"/>
        </w:rPr>
        <w:t>You want to maintain your status as a charity in good standing that is known for doing the right thing.</w:t>
      </w:r>
    </w:p>
    <w:p w:rsidR="00235E38" w:rsidRPr="0003207B" w:rsidRDefault="00235E38" w:rsidP="00235E38">
      <w:pPr>
        <w:spacing w:after="120"/>
        <w:ind w:left="2891" w:hangingChars="1200" w:hanging="2891"/>
        <w:rPr>
          <w:rFonts w:cstheme="minorHAnsi"/>
          <w:sz w:val="24"/>
          <w:szCs w:val="24"/>
        </w:rPr>
      </w:pPr>
      <w:r w:rsidRPr="0003207B">
        <w:rPr>
          <w:rFonts w:cstheme="minorHAnsi"/>
          <w:b/>
          <w:sz w:val="24"/>
          <w:szCs w:val="24"/>
        </w:rPr>
        <w:t xml:space="preserve">How to get it: </w:t>
      </w:r>
      <w:r w:rsidRPr="0003207B">
        <w:rPr>
          <w:rFonts w:cstheme="minorHAnsi"/>
          <w:b/>
          <w:sz w:val="24"/>
          <w:szCs w:val="24"/>
        </w:rPr>
        <w:tab/>
      </w:r>
      <w:hyperlink r:id="rId9" w:history="1">
        <w:r w:rsidRPr="0003207B">
          <w:rPr>
            <w:rStyle w:val="Hyperlink"/>
            <w:rFonts w:cstheme="minorHAnsi"/>
            <w:sz w:val="24"/>
            <w:szCs w:val="24"/>
          </w:rPr>
          <w:t>www.PlannedGivinginaBox.Com/PGB2-0901</w:t>
        </w:r>
      </w:hyperlink>
    </w:p>
    <w:p w:rsidR="0003207B" w:rsidRDefault="0003207B" w:rsidP="00235E38">
      <w:pPr>
        <w:spacing w:after="120"/>
        <w:rPr>
          <w:rFonts w:cstheme="minorHAnsi"/>
          <w:b/>
          <w:sz w:val="24"/>
          <w:szCs w:val="24"/>
        </w:rPr>
      </w:pPr>
    </w:p>
    <w:p w:rsidR="0003207B" w:rsidRDefault="0003207B" w:rsidP="00235E38">
      <w:pPr>
        <w:spacing w:after="120"/>
        <w:rPr>
          <w:rFonts w:cstheme="minorHAnsi"/>
          <w:b/>
          <w:sz w:val="24"/>
          <w:szCs w:val="24"/>
        </w:rPr>
      </w:pPr>
    </w:p>
    <w:p w:rsidR="0003207B" w:rsidRDefault="0003207B" w:rsidP="00235E38">
      <w:pPr>
        <w:spacing w:after="120"/>
        <w:rPr>
          <w:rFonts w:cstheme="minorHAnsi"/>
          <w:b/>
          <w:sz w:val="24"/>
          <w:szCs w:val="24"/>
        </w:rPr>
      </w:pPr>
    </w:p>
    <w:p w:rsidR="0003207B" w:rsidRDefault="0003207B" w:rsidP="00235E38">
      <w:pPr>
        <w:spacing w:after="120"/>
        <w:rPr>
          <w:rFonts w:cstheme="minorHAnsi"/>
          <w:b/>
          <w:sz w:val="24"/>
          <w:szCs w:val="24"/>
        </w:rPr>
      </w:pPr>
    </w:p>
    <w:p w:rsidR="0003207B" w:rsidRDefault="0003207B" w:rsidP="00235E38">
      <w:pPr>
        <w:spacing w:after="120"/>
        <w:rPr>
          <w:rFonts w:cstheme="minorHAnsi"/>
          <w:b/>
          <w:sz w:val="24"/>
          <w:szCs w:val="24"/>
        </w:rPr>
      </w:pPr>
    </w:p>
    <w:p w:rsidR="0003207B" w:rsidRDefault="0003207B" w:rsidP="00235E38">
      <w:pPr>
        <w:spacing w:after="120"/>
        <w:rPr>
          <w:rFonts w:cstheme="minorHAnsi"/>
          <w:b/>
          <w:sz w:val="24"/>
          <w:szCs w:val="24"/>
        </w:rPr>
      </w:pPr>
    </w:p>
    <w:p w:rsidR="0003207B" w:rsidRDefault="0003207B" w:rsidP="00235E38">
      <w:pPr>
        <w:spacing w:after="120"/>
        <w:rPr>
          <w:rFonts w:cstheme="minorHAnsi"/>
          <w:b/>
          <w:sz w:val="24"/>
          <w:szCs w:val="24"/>
        </w:rPr>
      </w:pPr>
    </w:p>
    <w:p w:rsidR="0003207B" w:rsidRDefault="0003207B" w:rsidP="00235E38">
      <w:pPr>
        <w:spacing w:after="120"/>
        <w:rPr>
          <w:rFonts w:cstheme="minorHAnsi"/>
          <w:b/>
          <w:sz w:val="24"/>
          <w:szCs w:val="24"/>
        </w:rPr>
      </w:pPr>
    </w:p>
    <w:p w:rsidR="0003207B" w:rsidRDefault="0003207B" w:rsidP="00235E38">
      <w:pPr>
        <w:spacing w:after="120"/>
        <w:rPr>
          <w:rFonts w:cstheme="minorHAnsi"/>
          <w:b/>
          <w:sz w:val="24"/>
          <w:szCs w:val="24"/>
        </w:rPr>
      </w:pPr>
    </w:p>
    <w:p w:rsidR="0003207B" w:rsidRDefault="0003207B" w:rsidP="00235E38">
      <w:pPr>
        <w:spacing w:after="120"/>
        <w:rPr>
          <w:rFonts w:cstheme="minorHAnsi"/>
          <w:b/>
          <w:sz w:val="24"/>
          <w:szCs w:val="24"/>
        </w:rPr>
      </w:pPr>
    </w:p>
    <w:p w:rsidR="0003207B" w:rsidRDefault="0003207B" w:rsidP="00235E38">
      <w:pPr>
        <w:spacing w:after="120"/>
        <w:rPr>
          <w:rFonts w:cstheme="minorHAnsi"/>
          <w:b/>
          <w:sz w:val="24"/>
          <w:szCs w:val="24"/>
        </w:rPr>
      </w:pPr>
    </w:p>
    <w:p w:rsidR="0003207B" w:rsidRDefault="0003207B" w:rsidP="00235E38">
      <w:pPr>
        <w:spacing w:after="120"/>
        <w:rPr>
          <w:rFonts w:cstheme="minorHAnsi"/>
          <w:b/>
          <w:sz w:val="24"/>
          <w:szCs w:val="24"/>
        </w:rPr>
      </w:pPr>
    </w:p>
    <w:p w:rsidR="0003207B" w:rsidRDefault="0003207B" w:rsidP="00235E38">
      <w:pPr>
        <w:spacing w:after="120"/>
        <w:rPr>
          <w:rFonts w:cstheme="minorHAnsi"/>
          <w:b/>
          <w:sz w:val="24"/>
          <w:szCs w:val="24"/>
        </w:rPr>
      </w:pPr>
    </w:p>
    <w:p w:rsidR="00235E38" w:rsidRDefault="0003207B" w:rsidP="00235E38">
      <w:pPr>
        <w:spacing w:after="120"/>
        <w:rPr>
          <w:rFonts w:asciiTheme="majorHAnsi" w:hAnsiTheme="majorHAnsi" w:cstheme="majorHAnsi"/>
          <w:sz w:val="36"/>
          <w:szCs w:val="36"/>
        </w:rPr>
      </w:pPr>
      <w:r w:rsidRPr="0003207B">
        <w:rPr>
          <w:rFonts w:asciiTheme="majorHAnsi" w:hAnsiTheme="majorHAnsi" w:cstheme="majorHAnsi"/>
          <w:sz w:val="36"/>
          <w:szCs w:val="36"/>
        </w:rPr>
        <w:lastRenderedPageBreak/>
        <w:t>BACKGROUND</w:t>
      </w:r>
    </w:p>
    <w:p w:rsidR="0003207B" w:rsidRPr="0003207B" w:rsidRDefault="0003207B" w:rsidP="00235E38">
      <w:pPr>
        <w:spacing w:after="120"/>
        <w:rPr>
          <w:rFonts w:asciiTheme="majorHAnsi" w:hAnsiTheme="majorHAnsi" w:cstheme="majorHAnsi"/>
          <w:sz w:val="24"/>
          <w:szCs w:val="24"/>
        </w:rPr>
      </w:pPr>
    </w:p>
    <w:p w:rsidR="00235E38" w:rsidRPr="0003207B" w:rsidRDefault="00235E38" w:rsidP="00235E38">
      <w:pPr>
        <w:spacing w:after="120"/>
        <w:rPr>
          <w:rFonts w:cstheme="minorHAnsi"/>
          <w:sz w:val="24"/>
          <w:szCs w:val="24"/>
        </w:rPr>
      </w:pPr>
      <w:r w:rsidRPr="0003207B">
        <w:rPr>
          <w:rFonts w:cstheme="minorHAnsi"/>
          <w:sz w:val="24"/>
          <w:szCs w:val="24"/>
        </w:rPr>
        <w:t xml:space="preserve">Because planned giving may be a new field of endeavor for your charity, it is important to recognize the ethical rules and regulations which may apply to your work in this area. </w:t>
      </w:r>
    </w:p>
    <w:p w:rsidR="00235E38" w:rsidRPr="0003207B" w:rsidRDefault="00235E38" w:rsidP="00235E38">
      <w:pPr>
        <w:spacing w:after="120"/>
        <w:rPr>
          <w:rFonts w:cstheme="minorHAnsi"/>
          <w:i/>
          <w:sz w:val="24"/>
          <w:szCs w:val="24"/>
        </w:rPr>
      </w:pPr>
    </w:p>
    <w:p w:rsidR="00235E38" w:rsidRPr="0003207B" w:rsidRDefault="00235E38" w:rsidP="00235E38">
      <w:pPr>
        <w:spacing w:after="120"/>
        <w:rPr>
          <w:rFonts w:cstheme="minorHAnsi"/>
          <w:i/>
          <w:sz w:val="24"/>
          <w:szCs w:val="24"/>
        </w:rPr>
      </w:pPr>
      <w:r w:rsidRPr="0003207B">
        <w:rPr>
          <w:rFonts w:cstheme="minorHAnsi"/>
          <w:i/>
          <w:sz w:val="24"/>
          <w:szCs w:val="24"/>
        </w:rPr>
        <w:t>Rules of Ethics</w:t>
      </w:r>
    </w:p>
    <w:p w:rsidR="00235E38" w:rsidRPr="0003207B" w:rsidRDefault="00235E38" w:rsidP="00235E38">
      <w:pPr>
        <w:spacing w:after="120"/>
        <w:rPr>
          <w:rFonts w:cstheme="minorHAnsi"/>
          <w:sz w:val="24"/>
          <w:szCs w:val="24"/>
        </w:rPr>
      </w:pPr>
      <w:r w:rsidRPr="0003207B">
        <w:rPr>
          <w:rFonts w:cstheme="minorHAnsi"/>
          <w:sz w:val="24"/>
          <w:szCs w:val="24"/>
        </w:rPr>
        <w:t xml:space="preserve">When planned </w:t>
      </w:r>
      <w:proofErr w:type="gramStart"/>
      <w:r w:rsidRPr="0003207B">
        <w:rPr>
          <w:rFonts w:cstheme="minorHAnsi"/>
          <w:sz w:val="24"/>
          <w:szCs w:val="24"/>
        </w:rPr>
        <w:t>giving</w:t>
      </w:r>
      <w:proofErr w:type="gramEnd"/>
      <w:r w:rsidRPr="0003207B">
        <w:rPr>
          <w:rFonts w:cstheme="minorHAnsi"/>
          <w:sz w:val="24"/>
          <w:szCs w:val="24"/>
        </w:rPr>
        <w:t xml:space="preserve"> emerged as a profession, there were no standards of ethics. While many of the professionals involved in planned </w:t>
      </w:r>
      <w:proofErr w:type="gramStart"/>
      <w:r w:rsidRPr="0003207B">
        <w:rPr>
          <w:rFonts w:cstheme="minorHAnsi"/>
          <w:sz w:val="24"/>
          <w:szCs w:val="24"/>
        </w:rPr>
        <w:t>giving</w:t>
      </w:r>
      <w:proofErr w:type="gramEnd"/>
      <w:r w:rsidRPr="0003207B">
        <w:rPr>
          <w:rFonts w:cstheme="minorHAnsi"/>
          <w:sz w:val="24"/>
          <w:szCs w:val="24"/>
        </w:rPr>
        <w:t xml:space="preserve"> (attorneys, accountants, financial advisors, etc.) were subject to </w:t>
      </w:r>
      <w:r w:rsidRPr="0003207B">
        <w:rPr>
          <w:rFonts w:cstheme="minorHAnsi"/>
          <w:i/>
          <w:sz w:val="24"/>
          <w:szCs w:val="24"/>
        </w:rPr>
        <w:t>their own</w:t>
      </w:r>
      <w:r w:rsidRPr="0003207B">
        <w:rPr>
          <w:rFonts w:cstheme="minorHAnsi"/>
          <w:sz w:val="24"/>
          <w:szCs w:val="24"/>
        </w:rPr>
        <w:t xml:space="preserve"> ethical standards, the field of planned giving itself had none. In 1991, the </w:t>
      </w:r>
      <w:r w:rsidRPr="0003207B">
        <w:rPr>
          <w:rFonts w:cstheme="minorHAnsi"/>
          <w:b/>
          <w:sz w:val="24"/>
          <w:szCs w:val="24"/>
        </w:rPr>
        <w:t>National Committee on Planned Giving (now the Partnership for Philanthropic Planning)</w:t>
      </w:r>
      <w:r w:rsidRPr="0003207B">
        <w:rPr>
          <w:rFonts w:cstheme="minorHAnsi"/>
          <w:sz w:val="24"/>
          <w:szCs w:val="24"/>
        </w:rPr>
        <w:t xml:space="preserve"> adopted the first set of </w:t>
      </w:r>
      <w:r w:rsidRPr="0003207B">
        <w:rPr>
          <w:rFonts w:cstheme="minorHAnsi"/>
          <w:i/>
          <w:sz w:val="24"/>
          <w:szCs w:val="24"/>
        </w:rPr>
        <w:t>Model Standards of Practice for the Charitable Gift Planner.</w:t>
      </w:r>
      <w:r w:rsidRPr="0003207B">
        <w:rPr>
          <w:rFonts w:cstheme="minorHAnsi"/>
          <w:sz w:val="24"/>
          <w:szCs w:val="24"/>
        </w:rPr>
        <w:t xml:space="preserve"> These standards provide the groundwork for responsible planned giving by charities and professional advisors.</w:t>
      </w:r>
    </w:p>
    <w:p w:rsidR="00235E38" w:rsidRPr="0003207B" w:rsidRDefault="00235E38" w:rsidP="00235E38">
      <w:pPr>
        <w:spacing w:after="120"/>
        <w:rPr>
          <w:rFonts w:cstheme="minorHAnsi"/>
          <w:sz w:val="24"/>
          <w:szCs w:val="24"/>
        </w:rPr>
      </w:pPr>
      <w:r w:rsidRPr="0003207B">
        <w:rPr>
          <w:rFonts w:cstheme="minorHAnsi"/>
          <w:sz w:val="24"/>
          <w:szCs w:val="24"/>
        </w:rPr>
        <w:t xml:space="preserve">You can download the current version of the Model Standards at </w:t>
      </w:r>
      <w:hyperlink r:id="rId10" w:history="1">
        <w:r w:rsidRPr="0003207B">
          <w:rPr>
            <w:rStyle w:val="Hyperlink"/>
            <w:rFonts w:cstheme="minorHAnsi"/>
            <w:sz w:val="24"/>
            <w:szCs w:val="24"/>
          </w:rPr>
          <w:t>www.PlannedGivinginaBox.Com/PGB2-0901</w:t>
        </w:r>
      </w:hyperlink>
      <w:r w:rsidRPr="0003207B">
        <w:rPr>
          <w:rFonts w:cstheme="minorHAnsi"/>
          <w:sz w:val="24"/>
          <w:szCs w:val="24"/>
        </w:rPr>
        <w:t>.</w:t>
      </w:r>
    </w:p>
    <w:p w:rsidR="00235E38" w:rsidRPr="0003207B" w:rsidRDefault="00235E38" w:rsidP="00235E38">
      <w:pPr>
        <w:spacing w:after="120"/>
        <w:rPr>
          <w:rFonts w:cstheme="minorHAnsi"/>
          <w:sz w:val="24"/>
          <w:szCs w:val="24"/>
        </w:rPr>
      </w:pPr>
      <w:r w:rsidRPr="0003207B">
        <w:rPr>
          <w:rFonts w:cstheme="minorHAnsi"/>
          <w:sz w:val="24"/>
          <w:szCs w:val="24"/>
        </w:rPr>
        <w:t xml:space="preserve">The standards remind us that </w:t>
      </w:r>
      <w:r w:rsidRPr="0003207B">
        <w:rPr>
          <w:rFonts w:cstheme="minorHAnsi"/>
          <w:b/>
          <w:sz w:val="24"/>
          <w:szCs w:val="24"/>
        </w:rPr>
        <w:t>at the heart of every planned gift is the charitable motivation of the donor.</w:t>
      </w:r>
      <w:r w:rsidRPr="0003207B">
        <w:rPr>
          <w:rFonts w:cstheme="minorHAnsi"/>
          <w:sz w:val="24"/>
          <w:szCs w:val="24"/>
        </w:rPr>
        <w:t xml:space="preserve"> Without charitable intent, a planned gift makes little sense, as there are commercially available financial alternatives to virtually every planned gift structure that make the commercial option more attractive. </w:t>
      </w:r>
    </w:p>
    <w:p w:rsidR="00235E38" w:rsidRPr="0003207B" w:rsidRDefault="00235E38" w:rsidP="00235E38">
      <w:pPr>
        <w:pStyle w:val="ListParagraph"/>
        <w:numPr>
          <w:ilvl w:val="0"/>
          <w:numId w:val="16"/>
        </w:numPr>
        <w:spacing w:after="120"/>
        <w:rPr>
          <w:rFonts w:cstheme="minorHAnsi"/>
        </w:rPr>
      </w:pPr>
      <w:r w:rsidRPr="0003207B">
        <w:rPr>
          <w:rFonts w:cstheme="minorHAnsi"/>
        </w:rPr>
        <w:t xml:space="preserve">The Model Standards suggest that donors should be made aware of the tax implications of their planned gifts. </w:t>
      </w:r>
    </w:p>
    <w:p w:rsidR="00235E38" w:rsidRPr="0003207B" w:rsidRDefault="00235E38" w:rsidP="00235E38">
      <w:pPr>
        <w:pStyle w:val="ListParagraph"/>
        <w:numPr>
          <w:ilvl w:val="0"/>
          <w:numId w:val="16"/>
        </w:numPr>
        <w:spacing w:after="120"/>
        <w:rPr>
          <w:rFonts w:cstheme="minorHAnsi"/>
        </w:rPr>
      </w:pPr>
      <w:r w:rsidRPr="0003207B">
        <w:rPr>
          <w:rFonts w:cstheme="minorHAnsi"/>
        </w:rPr>
        <w:t xml:space="preserve">They call for full disclosure of representation and compensation, so that donors know who represents who and how charitable representatives and professional advisors are compensated. </w:t>
      </w:r>
    </w:p>
    <w:p w:rsidR="00235E38" w:rsidRPr="0003207B" w:rsidRDefault="00235E38" w:rsidP="00235E38">
      <w:pPr>
        <w:pStyle w:val="ListParagraph"/>
        <w:numPr>
          <w:ilvl w:val="0"/>
          <w:numId w:val="16"/>
        </w:numPr>
        <w:spacing w:after="120"/>
        <w:rPr>
          <w:rFonts w:cstheme="minorHAnsi"/>
        </w:rPr>
      </w:pPr>
      <w:r w:rsidRPr="0003207B">
        <w:rPr>
          <w:rFonts w:cstheme="minorHAnsi"/>
        </w:rPr>
        <w:t>They prohibit the payment of commissions on charitable gifts in all cases.</w:t>
      </w:r>
    </w:p>
    <w:p w:rsidR="00235E38" w:rsidRPr="0003207B" w:rsidRDefault="00235E38" w:rsidP="00235E38">
      <w:pPr>
        <w:pStyle w:val="ListParagraph"/>
        <w:numPr>
          <w:ilvl w:val="0"/>
          <w:numId w:val="16"/>
        </w:numPr>
        <w:spacing w:after="120"/>
        <w:rPr>
          <w:rFonts w:cstheme="minorHAnsi"/>
        </w:rPr>
      </w:pPr>
      <w:r w:rsidRPr="0003207B">
        <w:rPr>
          <w:rFonts w:cstheme="minorHAnsi"/>
        </w:rPr>
        <w:t>The Model Standards also call on charitable representatives to be competent and professional.</w:t>
      </w:r>
    </w:p>
    <w:p w:rsidR="0003207B" w:rsidRDefault="0003207B" w:rsidP="0003207B">
      <w:pPr>
        <w:rPr>
          <w:rFonts w:cstheme="minorHAnsi"/>
          <w:sz w:val="24"/>
          <w:szCs w:val="24"/>
        </w:rPr>
      </w:pPr>
    </w:p>
    <w:p w:rsidR="0003207B" w:rsidRDefault="00235E38" w:rsidP="0003207B">
      <w:pPr>
        <w:rPr>
          <w:rFonts w:cstheme="minorHAnsi"/>
          <w:sz w:val="24"/>
          <w:szCs w:val="24"/>
        </w:rPr>
      </w:pPr>
      <w:r w:rsidRPr="0003207B">
        <w:rPr>
          <w:rFonts w:cstheme="minorHAnsi"/>
          <w:sz w:val="24"/>
          <w:szCs w:val="24"/>
        </w:rPr>
        <w:t xml:space="preserve">If you follow all of the steps outlined in Planned </w:t>
      </w:r>
      <w:proofErr w:type="gramStart"/>
      <w:r w:rsidRPr="0003207B">
        <w:rPr>
          <w:rFonts w:cstheme="minorHAnsi"/>
          <w:sz w:val="24"/>
          <w:szCs w:val="24"/>
        </w:rPr>
        <w:t>Giving</w:t>
      </w:r>
      <w:proofErr w:type="gramEnd"/>
      <w:r w:rsidRPr="0003207B">
        <w:rPr>
          <w:rFonts w:cstheme="minorHAnsi"/>
          <w:sz w:val="24"/>
          <w:szCs w:val="24"/>
        </w:rPr>
        <w:t xml:space="preserve"> in a Box, you will know enough to successfully offer basic bequests, retirement plan beneficiary designations and life insurance policy beneficiary designations to your donors without worry or concern. But if you start to move into more complex gifts, such as those involving gift annuities, charitable trusts, lead trusts, private foundations or complex assets, you may need to get </w:t>
      </w:r>
      <w:r w:rsidRPr="0003207B">
        <w:rPr>
          <w:rFonts w:cstheme="minorHAnsi"/>
          <w:b/>
          <w:sz w:val="24"/>
          <w:szCs w:val="24"/>
        </w:rPr>
        <w:t>more training or professional guidance</w:t>
      </w:r>
      <w:r w:rsidRPr="0003207B">
        <w:rPr>
          <w:rFonts w:cstheme="minorHAnsi"/>
          <w:sz w:val="24"/>
          <w:szCs w:val="24"/>
        </w:rPr>
        <w:t>.</w:t>
      </w:r>
    </w:p>
    <w:p w:rsidR="00235E38" w:rsidRPr="0003207B" w:rsidRDefault="00235E38" w:rsidP="0003207B">
      <w:pPr>
        <w:rPr>
          <w:rFonts w:cstheme="minorHAnsi"/>
          <w:sz w:val="24"/>
          <w:szCs w:val="24"/>
        </w:rPr>
      </w:pPr>
      <w:r w:rsidRPr="0003207B">
        <w:rPr>
          <w:rFonts w:cstheme="minorHAnsi"/>
          <w:sz w:val="24"/>
          <w:szCs w:val="24"/>
        </w:rPr>
        <w:lastRenderedPageBreak/>
        <w:t>In fact, the Model Standards suggest that when you start to work on more complex gifts you call a professional advisor, and that you always suggest to the donor that he or she contact his or her own advisors before making a planned gift.</w:t>
      </w:r>
    </w:p>
    <w:p w:rsidR="00235E38" w:rsidRPr="0003207B" w:rsidRDefault="00235E38" w:rsidP="00235E38">
      <w:pPr>
        <w:spacing w:after="120"/>
        <w:rPr>
          <w:rFonts w:cstheme="minorHAnsi"/>
          <w:sz w:val="24"/>
          <w:szCs w:val="24"/>
        </w:rPr>
      </w:pPr>
      <w:r w:rsidRPr="0003207B">
        <w:rPr>
          <w:rFonts w:cstheme="minorHAnsi"/>
          <w:sz w:val="24"/>
          <w:szCs w:val="24"/>
        </w:rPr>
        <w:t xml:space="preserve">Ultimately, the Model Standards are to </w:t>
      </w:r>
      <w:r w:rsidRPr="0003207B">
        <w:rPr>
          <w:rFonts w:cstheme="minorHAnsi"/>
          <w:b/>
          <w:sz w:val="24"/>
          <w:szCs w:val="24"/>
        </w:rPr>
        <w:t>ensure the public trust</w:t>
      </w:r>
      <w:r w:rsidRPr="0003207B">
        <w:rPr>
          <w:rFonts w:cstheme="minorHAnsi"/>
          <w:sz w:val="24"/>
          <w:szCs w:val="24"/>
        </w:rPr>
        <w:t>. If charities do not regulate themselves, carrying themselves with fairness, honest, integrity and openness, then they betray the people they were created to serve. And without self-regulation, the government is likely to make the charitable giving process far more difficult or eliminate charitable giving incentives all together, in favor of government run programs.</w:t>
      </w:r>
    </w:p>
    <w:p w:rsidR="00235E38" w:rsidRPr="0003207B" w:rsidRDefault="00235E38" w:rsidP="00235E38">
      <w:pPr>
        <w:spacing w:after="120"/>
        <w:rPr>
          <w:rFonts w:cstheme="minorHAnsi"/>
          <w:i/>
          <w:sz w:val="24"/>
          <w:szCs w:val="24"/>
        </w:rPr>
      </w:pPr>
    </w:p>
    <w:p w:rsidR="00235E38" w:rsidRPr="0003207B" w:rsidRDefault="00235E38" w:rsidP="00235E38">
      <w:pPr>
        <w:spacing w:after="120"/>
        <w:rPr>
          <w:rFonts w:cstheme="minorHAnsi"/>
          <w:i/>
          <w:sz w:val="24"/>
          <w:szCs w:val="24"/>
        </w:rPr>
      </w:pPr>
      <w:r w:rsidRPr="0003207B">
        <w:rPr>
          <w:rFonts w:cstheme="minorHAnsi"/>
          <w:i/>
          <w:sz w:val="24"/>
          <w:szCs w:val="24"/>
        </w:rPr>
        <w:t>State Regulation</w:t>
      </w:r>
    </w:p>
    <w:p w:rsidR="00235E38" w:rsidRPr="0003207B" w:rsidRDefault="00235E38" w:rsidP="00235E38">
      <w:pPr>
        <w:spacing w:after="120"/>
        <w:rPr>
          <w:rFonts w:cstheme="minorHAnsi"/>
          <w:sz w:val="24"/>
          <w:szCs w:val="24"/>
        </w:rPr>
      </w:pPr>
      <w:r w:rsidRPr="0003207B">
        <w:rPr>
          <w:rFonts w:cstheme="minorHAnsi"/>
          <w:sz w:val="24"/>
          <w:szCs w:val="24"/>
        </w:rPr>
        <w:t xml:space="preserve">Each state regulates charities. Unfortunately, these regulations are not uniform, meaning that just because a charity </w:t>
      </w:r>
      <w:proofErr w:type="gramStart"/>
      <w:r w:rsidRPr="0003207B">
        <w:rPr>
          <w:rFonts w:cstheme="minorHAnsi"/>
          <w:sz w:val="24"/>
          <w:szCs w:val="24"/>
        </w:rPr>
        <w:t>is in compliance</w:t>
      </w:r>
      <w:proofErr w:type="gramEnd"/>
      <w:r w:rsidRPr="0003207B">
        <w:rPr>
          <w:rFonts w:cstheme="minorHAnsi"/>
          <w:sz w:val="24"/>
          <w:szCs w:val="24"/>
        </w:rPr>
        <w:t xml:space="preserve"> in one state </w:t>
      </w:r>
      <w:r w:rsidRPr="0003207B">
        <w:rPr>
          <w:rFonts w:cstheme="minorHAnsi"/>
          <w:b/>
          <w:sz w:val="24"/>
          <w:szCs w:val="24"/>
        </w:rPr>
        <w:t>does not mean</w:t>
      </w:r>
      <w:r w:rsidRPr="0003207B">
        <w:rPr>
          <w:rFonts w:cstheme="minorHAnsi"/>
          <w:sz w:val="24"/>
          <w:szCs w:val="24"/>
        </w:rPr>
        <w:t xml:space="preserve"> it is in compliance in another. It would be impossible for The Box to provide you with everything you need to be in full compliance with </w:t>
      </w:r>
      <w:proofErr w:type="gramStart"/>
      <w:r w:rsidRPr="0003207B">
        <w:rPr>
          <w:rFonts w:cstheme="minorHAnsi"/>
          <w:sz w:val="24"/>
          <w:szCs w:val="24"/>
        </w:rPr>
        <w:t>all of</w:t>
      </w:r>
      <w:proofErr w:type="gramEnd"/>
      <w:r w:rsidRPr="0003207B">
        <w:rPr>
          <w:rFonts w:cstheme="minorHAnsi"/>
          <w:sz w:val="24"/>
          <w:szCs w:val="24"/>
        </w:rPr>
        <w:t xml:space="preserve"> the regulations in all of the states, but it is important to raise a few key issues so that you can explore if you need to do more to get into compliance. </w:t>
      </w:r>
    </w:p>
    <w:p w:rsidR="00235E38" w:rsidRPr="0003207B" w:rsidRDefault="00235E38" w:rsidP="00235E38">
      <w:pPr>
        <w:spacing w:after="120"/>
        <w:rPr>
          <w:rFonts w:cstheme="minorHAnsi"/>
          <w:sz w:val="24"/>
          <w:szCs w:val="24"/>
        </w:rPr>
      </w:pPr>
      <w:r w:rsidRPr="0003207B">
        <w:rPr>
          <w:rFonts w:cstheme="minorHAnsi"/>
          <w:sz w:val="24"/>
          <w:szCs w:val="24"/>
        </w:rPr>
        <w:t xml:space="preserve">Keep in mind that most states regulate charities when they have a “presence” in that state. Of course, each state defines “presence” differently. For a while, some states said that if you have a website that targets its residents, </w:t>
      </w:r>
      <w:r w:rsidRPr="0003207B">
        <w:rPr>
          <w:rFonts w:cstheme="minorHAnsi"/>
          <w:i/>
          <w:sz w:val="24"/>
          <w:szCs w:val="24"/>
        </w:rPr>
        <w:t>that</w:t>
      </w:r>
      <w:r w:rsidRPr="0003207B">
        <w:rPr>
          <w:rFonts w:cstheme="minorHAnsi"/>
          <w:sz w:val="24"/>
          <w:szCs w:val="24"/>
        </w:rPr>
        <w:t xml:space="preserve"> may be enough to be “present” and subject you to its regulations.</w:t>
      </w:r>
    </w:p>
    <w:p w:rsidR="00235E38" w:rsidRPr="0003207B" w:rsidRDefault="00235E38" w:rsidP="00235E38">
      <w:pPr>
        <w:spacing w:after="120"/>
        <w:rPr>
          <w:rFonts w:cstheme="minorHAnsi"/>
          <w:sz w:val="24"/>
          <w:szCs w:val="24"/>
        </w:rPr>
      </w:pPr>
      <w:r w:rsidRPr="0003207B">
        <w:rPr>
          <w:rFonts w:cstheme="minorHAnsi"/>
          <w:sz w:val="24"/>
          <w:szCs w:val="24"/>
        </w:rPr>
        <w:t xml:space="preserve">As technology has evolved, most states have determined that if your presence is “passive”, such as a website, a charity will not be subject to their regulations. However, if your presence is “proactive,” meaning that you reach out with mail, e-mail, postcards, magazines, newsletters, social media, etc., whether it is to solicit, share information, or just get the word out, you are present in their state and subject to their regulations. </w:t>
      </w:r>
    </w:p>
    <w:p w:rsidR="00235E38" w:rsidRPr="0003207B" w:rsidRDefault="00235E38" w:rsidP="0003207B">
      <w:pPr>
        <w:rPr>
          <w:rFonts w:cstheme="minorHAnsi"/>
          <w:sz w:val="24"/>
          <w:szCs w:val="24"/>
        </w:rPr>
      </w:pPr>
      <w:proofErr w:type="gramStart"/>
      <w:r w:rsidRPr="0003207B">
        <w:rPr>
          <w:rFonts w:cstheme="minorHAnsi"/>
          <w:sz w:val="24"/>
          <w:szCs w:val="24"/>
        </w:rPr>
        <w:t>As a general rule</w:t>
      </w:r>
      <w:proofErr w:type="gramEnd"/>
      <w:r w:rsidRPr="0003207B">
        <w:rPr>
          <w:rFonts w:cstheme="minorHAnsi"/>
          <w:sz w:val="24"/>
          <w:szCs w:val="24"/>
        </w:rPr>
        <w:t>, a charity should always be in full compliance with its state of “domicile” (where it is legally formed), and in any other states where it is clearly present. An attorney can assist you in determining where your charity has a presence and how to comply. Some states do provide exemption from charitable regulation for certain religious and other charities, so finding a legal firm with experience in dealing with these issues can end up saving your charity a great many headaches and difficulties.</w:t>
      </w:r>
    </w:p>
    <w:p w:rsidR="00235E38" w:rsidRPr="0003207B" w:rsidRDefault="00235E38" w:rsidP="00235E38">
      <w:pPr>
        <w:spacing w:after="120"/>
        <w:rPr>
          <w:rFonts w:cstheme="minorHAnsi"/>
          <w:sz w:val="24"/>
          <w:szCs w:val="24"/>
        </w:rPr>
      </w:pPr>
    </w:p>
    <w:p w:rsidR="00235E38" w:rsidRPr="0003207B" w:rsidRDefault="00235E38" w:rsidP="00235E38">
      <w:pPr>
        <w:spacing w:after="120"/>
        <w:rPr>
          <w:rFonts w:cstheme="minorHAnsi"/>
          <w:sz w:val="24"/>
          <w:szCs w:val="24"/>
        </w:rPr>
      </w:pPr>
    </w:p>
    <w:p w:rsidR="00235E38" w:rsidRPr="0003207B" w:rsidRDefault="00235E38" w:rsidP="00235E38">
      <w:pPr>
        <w:spacing w:after="120"/>
        <w:rPr>
          <w:rFonts w:cstheme="minorHAnsi"/>
          <w:sz w:val="24"/>
          <w:szCs w:val="24"/>
        </w:rPr>
      </w:pPr>
    </w:p>
    <w:p w:rsidR="00235E38" w:rsidRPr="0003207B" w:rsidRDefault="00235E38" w:rsidP="00235E38">
      <w:pPr>
        <w:spacing w:after="120"/>
        <w:rPr>
          <w:rFonts w:cstheme="minorHAnsi"/>
          <w:sz w:val="24"/>
          <w:szCs w:val="24"/>
        </w:rPr>
      </w:pPr>
    </w:p>
    <w:p w:rsidR="00235E38" w:rsidRPr="0003207B" w:rsidRDefault="0003207B" w:rsidP="00235E38">
      <w:pPr>
        <w:spacing w:after="120"/>
        <w:rPr>
          <w:rFonts w:cstheme="minorHAnsi"/>
          <w:sz w:val="24"/>
          <w:szCs w:val="24"/>
        </w:rPr>
      </w:pPr>
      <w:r>
        <w:rPr>
          <w:rFonts w:cstheme="minorHAnsi"/>
          <w:noProof/>
          <w:sz w:val="24"/>
          <w:szCs w:val="24"/>
        </w:rPr>
        <w:lastRenderedPageBreak/>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28575</wp:posOffset>
                </wp:positionV>
                <wp:extent cx="4381500" cy="1952625"/>
                <wp:effectExtent l="19050" t="19050" r="19050" b="28575"/>
                <wp:wrapNone/>
                <wp:docPr id="21"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a:off x="0" y="0"/>
                          <a:ext cx="4381500" cy="1952625"/>
                        </a:xfrm>
                        <a:prstGeom prst="bracketPair">
                          <a:avLst>
                            <a:gd name="adj" fmla="val 8051"/>
                          </a:avLst>
                        </a:prstGeom>
                        <a:noFill/>
                        <a:ln w="38100">
                          <a:solidFill>
                            <a:srgbClr val="9BBB59"/>
                          </a:solidFill>
                          <a:round/>
                          <a:headEnd/>
                          <a:tailEnd/>
                        </a:ln>
                        <a:effectLst/>
                        <a:extLst>
                          <a:ext uri="{909E8E84-426E-40DD-AFC4-6F175D3DCCD1}">
                            <a14:hiddenFill xmlns:a14="http://schemas.microsoft.com/office/drawing/2010/main">
                              <a:solidFill>
                                <a:srgbClr val="943634"/>
                              </a:solidFill>
                            </a14:hiddenFill>
                          </a:ext>
                          <a:ext uri="{AF507438-7753-43E0-B8FC-AC1667EBCBE1}">
                            <a14:hiddenEffects xmlns:a14="http://schemas.microsoft.com/office/drawing/2010/main">
                              <a:effectLst>
                                <a:outerShdw dist="17961" dir="2700000" algn="ctr" rotWithShape="0">
                                  <a:srgbClr val="5D7035"/>
                                </a:outerShdw>
                              </a:effectLst>
                            </a14:hiddenEffects>
                          </a:ext>
                        </a:extLst>
                      </wps:spPr>
                      <wps:txbx>
                        <w:txbxContent>
                          <w:p w:rsidR="00235E38" w:rsidRPr="00D76361" w:rsidRDefault="00235E38" w:rsidP="000D6C81">
                            <w:pPr>
                              <w:spacing w:after="120"/>
                              <w:jc w:val="center"/>
                              <w:rPr>
                                <w:rFonts w:asciiTheme="majorHAnsi" w:hAnsiTheme="majorHAnsi" w:cstheme="majorHAnsi"/>
                                <w:i/>
                                <w:sz w:val="26"/>
                                <w:szCs w:val="26"/>
                              </w:rPr>
                            </w:pPr>
                            <w:r w:rsidRPr="00D76361">
                              <w:rPr>
                                <w:rFonts w:asciiTheme="majorHAnsi" w:hAnsiTheme="majorHAnsi" w:cstheme="majorHAnsi"/>
                                <w:i/>
                                <w:sz w:val="26"/>
                                <w:szCs w:val="26"/>
                              </w:rPr>
                              <w:t xml:space="preserve">More and more states are enforcing these regulations </w:t>
                            </w:r>
                            <w:proofErr w:type="gramStart"/>
                            <w:r w:rsidRPr="00D76361">
                              <w:rPr>
                                <w:rFonts w:asciiTheme="majorHAnsi" w:hAnsiTheme="majorHAnsi" w:cstheme="majorHAnsi"/>
                                <w:i/>
                                <w:sz w:val="26"/>
                                <w:szCs w:val="26"/>
                              </w:rPr>
                              <w:t>in order to</w:t>
                            </w:r>
                            <w:proofErr w:type="gramEnd"/>
                            <w:r w:rsidRPr="00D76361">
                              <w:rPr>
                                <w:rFonts w:asciiTheme="majorHAnsi" w:hAnsiTheme="majorHAnsi" w:cstheme="majorHAnsi"/>
                                <w:i/>
                                <w:sz w:val="26"/>
                                <w:szCs w:val="26"/>
                              </w:rPr>
                              <w:t xml:space="preserve"> collect revenue – so there is no better time than the present to review your compliance issues. To further complicate matters, the updated federal Form 990 has the charity sign off that it </w:t>
                            </w:r>
                            <w:proofErr w:type="gramStart"/>
                            <w:r w:rsidRPr="00D76361">
                              <w:rPr>
                                <w:rFonts w:asciiTheme="majorHAnsi" w:hAnsiTheme="majorHAnsi" w:cstheme="majorHAnsi"/>
                                <w:i/>
                                <w:sz w:val="26"/>
                                <w:szCs w:val="26"/>
                              </w:rPr>
                              <w:t>is in compliance with</w:t>
                            </w:r>
                            <w:proofErr w:type="gramEnd"/>
                            <w:r w:rsidRPr="00D76361">
                              <w:rPr>
                                <w:rFonts w:asciiTheme="majorHAnsi" w:hAnsiTheme="majorHAnsi" w:cstheme="majorHAnsi"/>
                                <w:i/>
                                <w:sz w:val="26"/>
                                <w:szCs w:val="26"/>
                              </w:rPr>
                              <w:t xml:space="preserve"> all federal and state regulations, so </w:t>
                            </w:r>
                            <w:r w:rsidRPr="00D76361">
                              <w:rPr>
                                <w:rFonts w:asciiTheme="majorHAnsi" w:hAnsiTheme="majorHAnsi" w:cstheme="majorHAnsi"/>
                                <w:b/>
                                <w:i/>
                                <w:sz w:val="26"/>
                                <w:szCs w:val="26"/>
                              </w:rPr>
                              <w:t>this is no longer an issue that most charities can ignore</w:t>
                            </w:r>
                            <w:r w:rsidRPr="00D76361">
                              <w:rPr>
                                <w:rFonts w:asciiTheme="majorHAnsi" w:hAnsiTheme="majorHAnsi" w:cstheme="majorHAnsi"/>
                                <w:i/>
                                <w:sz w:val="26"/>
                                <w:szCs w:val="26"/>
                              </w:rPr>
                              <w:t xml:space="preserve"> unless the signor of the 990 wants to commit perjury, which we cauti</w:t>
                            </w:r>
                            <w:r>
                              <w:rPr>
                                <w:rFonts w:asciiTheme="majorHAnsi" w:hAnsiTheme="majorHAnsi" w:cstheme="majorHAnsi"/>
                                <w:i/>
                                <w:sz w:val="26"/>
                                <w:szCs w:val="26"/>
                              </w:rPr>
                              <w:t>on against for obvious reasons</w:t>
                            </w:r>
                            <w:r w:rsidR="008A7801">
                              <w:rPr>
                                <w:rFonts w:asciiTheme="majorHAnsi" w:hAnsiTheme="majorHAnsi" w:cstheme="majorHAnsi"/>
                                <w:i/>
                                <w:sz w:val="26"/>
                                <w:szCs w:val="26"/>
                              </w:rPr>
                              <w:t>.</w:t>
                            </w:r>
                          </w:p>
                        </w:txbxContent>
                      </wps:txbx>
                      <wps:bodyPr rot="0" vert="horz" wrap="square" lIns="45720" tIns="45720" rIns="4572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8" type="#_x0000_t185" style="position:absolute;margin-left:0;margin-top:2.25pt;width:345pt;height:153.75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" adj="1739" fillcolor="#943634" strokecolor="#9bbb59" strokeweight="3pt">
                <v:shadow color="#5d7035" offset="1pt,1pt"/>
                <o:lock v:ext="edit" aspectratio="t" verticies="t" text="t" shapetype="t"/>
                <v:textbox inset="3.6pt,,3.6pt">
                  <w:txbxContent>
                    <w:p w:rsidR="00235E38" w:rsidRPr="00D76361" w:rsidRDefault="00235E38" w:rsidP="000D6C81">
                      <w:pPr>
                        <w:spacing w:after="120"/>
                        <w:jc w:val="center"/>
                        <w:rPr>
                          <w:rFonts w:asciiTheme="majorHAnsi" w:hAnsiTheme="majorHAnsi" w:cstheme="majorHAnsi"/>
                          <w:i/>
                          <w:sz w:val="26"/>
                          <w:szCs w:val="26"/>
                        </w:rPr>
                      </w:pPr>
                      <w:r w:rsidRPr="00D76361">
                        <w:rPr>
                          <w:rFonts w:asciiTheme="majorHAnsi" w:hAnsiTheme="majorHAnsi" w:cstheme="majorHAnsi"/>
                          <w:i/>
                          <w:sz w:val="26"/>
                          <w:szCs w:val="26"/>
                        </w:rPr>
                        <w:t xml:space="preserve">More and more states are enforcing these regulations </w:t>
                      </w:r>
                      <w:proofErr w:type="gramStart"/>
                      <w:r w:rsidRPr="00D76361">
                        <w:rPr>
                          <w:rFonts w:asciiTheme="majorHAnsi" w:hAnsiTheme="majorHAnsi" w:cstheme="majorHAnsi"/>
                          <w:i/>
                          <w:sz w:val="26"/>
                          <w:szCs w:val="26"/>
                        </w:rPr>
                        <w:t>in order to</w:t>
                      </w:r>
                      <w:proofErr w:type="gramEnd"/>
                      <w:r w:rsidRPr="00D76361">
                        <w:rPr>
                          <w:rFonts w:asciiTheme="majorHAnsi" w:hAnsiTheme="majorHAnsi" w:cstheme="majorHAnsi"/>
                          <w:i/>
                          <w:sz w:val="26"/>
                          <w:szCs w:val="26"/>
                        </w:rPr>
                        <w:t xml:space="preserve"> collect revenue – so there is no better time than the present to review your compliance issues. To further complicate matters, the updated federal Form 990 has the charity sign off that it </w:t>
                      </w:r>
                      <w:proofErr w:type="gramStart"/>
                      <w:r w:rsidRPr="00D76361">
                        <w:rPr>
                          <w:rFonts w:asciiTheme="majorHAnsi" w:hAnsiTheme="majorHAnsi" w:cstheme="majorHAnsi"/>
                          <w:i/>
                          <w:sz w:val="26"/>
                          <w:szCs w:val="26"/>
                        </w:rPr>
                        <w:t>is in compliance with</w:t>
                      </w:r>
                      <w:proofErr w:type="gramEnd"/>
                      <w:r w:rsidRPr="00D76361">
                        <w:rPr>
                          <w:rFonts w:asciiTheme="majorHAnsi" w:hAnsiTheme="majorHAnsi" w:cstheme="majorHAnsi"/>
                          <w:i/>
                          <w:sz w:val="26"/>
                          <w:szCs w:val="26"/>
                        </w:rPr>
                        <w:t xml:space="preserve"> all federal and state regulations, so </w:t>
                      </w:r>
                      <w:r w:rsidRPr="00D76361">
                        <w:rPr>
                          <w:rFonts w:asciiTheme="majorHAnsi" w:hAnsiTheme="majorHAnsi" w:cstheme="majorHAnsi"/>
                          <w:b/>
                          <w:i/>
                          <w:sz w:val="26"/>
                          <w:szCs w:val="26"/>
                        </w:rPr>
                        <w:t>this is no longer an issue that most charities can ignore</w:t>
                      </w:r>
                      <w:r w:rsidRPr="00D76361">
                        <w:rPr>
                          <w:rFonts w:asciiTheme="majorHAnsi" w:hAnsiTheme="majorHAnsi" w:cstheme="majorHAnsi"/>
                          <w:i/>
                          <w:sz w:val="26"/>
                          <w:szCs w:val="26"/>
                        </w:rPr>
                        <w:t xml:space="preserve"> unless the signor of the 990 wants to commit perjury, which we cauti</w:t>
                      </w:r>
                      <w:r>
                        <w:rPr>
                          <w:rFonts w:asciiTheme="majorHAnsi" w:hAnsiTheme="majorHAnsi" w:cstheme="majorHAnsi"/>
                          <w:i/>
                          <w:sz w:val="26"/>
                          <w:szCs w:val="26"/>
                        </w:rPr>
                        <w:t>on against for obvious reasons</w:t>
                      </w:r>
                      <w:r w:rsidR="008A7801">
                        <w:rPr>
                          <w:rFonts w:asciiTheme="majorHAnsi" w:hAnsiTheme="majorHAnsi" w:cstheme="majorHAnsi"/>
                          <w:i/>
                          <w:sz w:val="26"/>
                          <w:szCs w:val="26"/>
                        </w:rPr>
                        <w:t>.</w:t>
                      </w:r>
                    </w:p>
                  </w:txbxContent>
                </v:textbox>
                <w10:wrap anchorx="margin"/>
              </v:shape>
            </w:pict>
          </mc:Fallback>
        </mc:AlternateContent>
      </w:r>
    </w:p>
    <w:p w:rsidR="00235E38" w:rsidRPr="0003207B" w:rsidRDefault="00235E38" w:rsidP="00235E38">
      <w:pPr>
        <w:spacing w:after="120"/>
        <w:rPr>
          <w:rFonts w:cstheme="minorHAnsi"/>
          <w:sz w:val="24"/>
          <w:szCs w:val="24"/>
        </w:rPr>
      </w:pPr>
    </w:p>
    <w:p w:rsidR="00235E38" w:rsidRPr="0003207B" w:rsidRDefault="00235E38" w:rsidP="00235E38">
      <w:pPr>
        <w:spacing w:after="120"/>
        <w:rPr>
          <w:rFonts w:cstheme="minorHAnsi"/>
          <w:sz w:val="24"/>
          <w:szCs w:val="24"/>
        </w:rPr>
      </w:pPr>
    </w:p>
    <w:p w:rsidR="00235E38" w:rsidRPr="0003207B" w:rsidRDefault="00235E38" w:rsidP="00235E38">
      <w:pPr>
        <w:spacing w:after="120"/>
        <w:rPr>
          <w:rFonts w:cstheme="minorHAnsi"/>
          <w:sz w:val="24"/>
          <w:szCs w:val="24"/>
        </w:rPr>
      </w:pPr>
    </w:p>
    <w:p w:rsidR="00235E38" w:rsidRPr="0003207B" w:rsidRDefault="00235E38" w:rsidP="00235E38">
      <w:pPr>
        <w:spacing w:after="120"/>
        <w:rPr>
          <w:rFonts w:cstheme="minorHAnsi"/>
          <w:sz w:val="24"/>
          <w:szCs w:val="24"/>
        </w:rPr>
      </w:pPr>
    </w:p>
    <w:p w:rsidR="0003207B" w:rsidRDefault="0003207B" w:rsidP="00235E38">
      <w:pPr>
        <w:spacing w:after="120"/>
        <w:rPr>
          <w:rFonts w:cstheme="minorHAnsi"/>
          <w:sz w:val="24"/>
          <w:szCs w:val="24"/>
        </w:rPr>
      </w:pPr>
    </w:p>
    <w:p w:rsidR="0003207B" w:rsidRDefault="0003207B" w:rsidP="00235E38">
      <w:pPr>
        <w:spacing w:after="120"/>
        <w:rPr>
          <w:rFonts w:cstheme="minorHAnsi"/>
          <w:sz w:val="24"/>
          <w:szCs w:val="24"/>
        </w:rPr>
      </w:pPr>
    </w:p>
    <w:p w:rsidR="0003207B" w:rsidRDefault="0003207B" w:rsidP="00235E38">
      <w:pPr>
        <w:spacing w:after="120"/>
        <w:rPr>
          <w:rFonts w:cstheme="minorHAnsi"/>
          <w:sz w:val="24"/>
          <w:szCs w:val="24"/>
        </w:rPr>
      </w:pPr>
    </w:p>
    <w:p w:rsidR="00235E38" w:rsidRPr="0003207B" w:rsidRDefault="00235E38" w:rsidP="00235E38">
      <w:pPr>
        <w:spacing w:after="120"/>
        <w:rPr>
          <w:rFonts w:cstheme="minorHAnsi"/>
          <w:sz w:val="24"/>
          <w:szCs w:val="24"/>
        </w:rPr>
      </w:pPr>
      <w:r w:rsidRPr="0003207B">
        <w:rPr>
          <w:rFonts w:cstheme="minorHAnsi"/>
          <w:sz w:val="24"/>
          <w:szCs w:val="24"/>
        </w:rPr>
        <w:t>There are generally three types of registrations that charities need to complete when they have a presence in a state (unless they are exempt), including:</w:t>
      </w:r>
    </w:p>
    <w:p w:rsidR="00235E38" w:rsidRPr="0003207B" w:rsidRDefault="00235E38" w:rsidP="00235E38">
      <w:pPr>
        <w:pStyle w:val="ListParagraph"/>
        <w:numPr>
          <w:ilvl w:val="0"/>
          <w:numId w:val="19"/>
        </w:numPr>
        <w:spacing w:after="120"/>
        <w:rPr>
          <w:rFonts w:cstheme="minorHAnsi"/>
        </w:rPr>
      </w:pPr>
      <w:r w:rsidRPr="0003207B">
        <w:rPr>
          <w:rFonts w:cstheme="minorHAnsi"/>
        </w:rPr>
        <w:t>Registration to do business,</w:t>
      </w:r>
    </w:p>
    <w:p w:rsidR="00235E38" w:rsidRPr="0003207B" w:rsidRDefault="00235E38" w:rsidP="00235E38">
      <w:pPr>
        <w:pStyle w:val="ListParagraph"/>
        <w:numPr>
          <w:ilvl w:val="0"/>
          <w:numId w:val="19"/>
        </w:numPr>
        <w:spacing w:after="120"/>
        <w:rPr>
          <w:rFonts w:cstheme="minorHAnsi"/>
        </w:rPr>
      </w:pPr>
      <w:r w:rsidRPr="0003207B">
        <w:rPr>
          <w:rFonts w:cstheme="minorHAnsi"/>
        </w:rPr>
        <w:t>Registration to solicit</w:t>
      </w:r>
    </w:p>
    <w:p w:rsidR="00235E38" w:rsidRPr="0003207B" w:rsidRDefault="00235E38" w:rsidP="00235E38">
      <w:pPr>
        <w:pStyle w:val="ListParagraph"/>
        <w:numPr>
          <w:ilvl w:val="0"/>
          <w:numId w:val="19"/>
        </w:numPr>
        <w:spacing w:after="120"/>
        <w:rPr>
          <w:rFonts w:cstheme="minorHAnsi"/>
        </w:rPr>
      </w:pPr>
      <w:r w:rsidRPr="0003207B">
        <w:rPr>
          <w:rFonts w:cstheme="minorHAnsi"/>
        </w:rPr>
        <w:t xml:space="preserve">Registration to issue gift annuities (if you plan to offer gift annuities to a resident of that state). </w:t>
      </w:r>
    </w:p>
    <w:p w:rsidR="00235E38" w:rsidRPr="0003207B" w:rsidRDefault="00235E38" w:rsidP="00235E38">
      <w:pPr>
        <w:spacing w:after="120"/>
        <w:rPr>
          <w:rFonts w:cstheme="minorHAnsi"/>
          <w:i/>
          <w:sz w:val="24"/>
          <w:szCs w:val="24"/>
        </w:rPr>
      </w:pPr>
    </w:p>
    <w:p w:rsidR="00235E38" w:rsidRPr="0003207B" w:rsidRDefault="00235E38" w:rsidP="00235E38">
      <w:pPr>
        <w:spacing w:after="120"/>
        <w:rPr>
          <w:rFonts w:cstheme="minorHAnsi"/>
          <w:i/>
          <w:sz w:val="24"/>
          <w:szCs w:val="24"/>
        </w:rPr>
      </w:pPr>
      <w:r w:rsidRPr="0003207B">
        <w:rPr>
          <w:rFonts w:cstheme="minorHAnsi"/>
          <w:i/>
          <w:sz w:val="24"/>
          <w:szCs w:val="24"/>
        </w:rPr>
        <w:t>Registration to Do Business</w:t>
      </w:r>
    </w:p>
    <w:p w:rsidR="00235E38" w:rsidRPr="0003207B" w:rsidRDefault="00235E38" w:rsidP="00235E38">
      <w:pPr>
        <w:spacing w:after="120"/>
        <w:rPr>
          <w:rFonts w:cstheme="minorHAnsi"/>
          <w:sz w:val="24"/>
          <w:szCs w:val="24"/>
        </w:rPr>
      </w:pPr>
      <w:r w:rsidRPr="0003207B">
        <w:rPr>
          <w:rFonts w:cstheme="minorHAnsi"/>
          <w:sz w:val="24"/>
          <w:szCs w:val="24"/>
        </w:rPr>
        <w:t xml:space="preserve">Most states require a charity to register to do business if it has a presence in that state. </w:t>
      </w:r>
      <w:proofErr w:type="gramStart"/>
      <w:r w:rsidRPr="0003207B">
        <w:rPr>
          <w:rFonts w:cstheme="minorHAnsi"/>
          <w:sz w:val="24"/>
          <w:szCs w:val="24"/>
        </w:rPr>
        <w:t>Certainly</w:t>
      </w:r>
      <w:proofErr w:type="gramEnd"/>
      <w:r w:rsidRPr="0003207B">
        <w:rPr>
          <w:rFonts w:cstheme="minorHAnsi"/>
          <w:sz w:val="24"/>
          <w:szCs w:val="24"/>
        </w:rPr>
        <w:t xml:space="preserve"> if a charity is planning to solicit residents for outright gifts or gift annuities, the charity should be registered to do business. The process is generally straightforward, requiring the charity to have a bona-fide office or an agent for service of process in the state. Why? So that if the state government or a resident wants to sue your charity, </w:t>
      </w:r>
      <w:r w:rsidRPr="0003207B">
        <w:rPr>
          <w:rFonts w:cstheme="minorHAnsi"/>
          <w:b/>
          <w:sz w:val="24"/>
          <w:szCs w:val="24"/>
        </w:rPr>
        <w:t>they know where to find you</w:t>
      </w:r>
      <w:r w:rsidRPr="0003207B">
        <w:rPr>
          <w:rFonts w:cstheme="minorHAnsi"/>
          <w:sz w:val="24"/>
          <w:szCs w:val="24"/>
        </w:rPr>
        <w:t xml:space="preserve"> and do not have to leave the state to do so. </w:t>
      </w:r>
    </w:p>
    <w:p w:rsidR="0003207B" w:rsidRDefault="0003207B" w:rsidP="0003207B">
      <w:pPr>
        <w:rPr>
          <w:rFonts w:cstheme="minorHAnsi"/>
          <w:i/>
          <w:sz w:val="24"/>
          <w:szCs w:val="24"/>
        </w:rPr>
      </w:pPr>
    </w:p>
    <w:p w:rsidR="00235E38" w:rsidRPr="0003207B" w:rsidRDefault="00235E38" w:rsidP="0003207B">
      <w:pPr>
        <w:rPr>
          <w:rFonts w:cstheme="minorHAnsi"/>
          <w:i/>
          <w:sz w:val="24"/>
          <w:szCs w:val="24"/>
        </w:rPr>
      </w:pPr>
      <w:r w:rsidRPr="0003207B">
        <w:rPr>
          <w:rFonts w:cstheme="minorHAnsi"/>
          <w:i/>
          <w:sz w:val="24"/>
          <w:szCs w:val="24"/>
        </w:rPr>
        <w:t>Registration to Solicit</w:t>
      </w:r>
    </w:p>
    <w:p w:rsidR="00235E38" w:rsidRPr="0003207B" w:rsidRDefault="00235E38" w:rsidP="00235E38">
      <w:pPr>
        <w:spacing w:after="120"/>
        <w:rPr>
          <w:rFonts w:cstheme="minorHAnsi"/>
          <w:sz w:val="24"/>
          <w:szCs w:val="24"/>
        </w:rPr>
      </w:pPr>
      <w:r w:rsidRPr="0003207B">
        <w:rPr>
          <w:rFonts w:cstheme="minorHAnsi"/>
          <w:sz w:val="24"/>
          <w:szCs w:val="24"/>
        </w:rPr>
        <w:t xml:space="preserve">At last check, 39 states and Washington DC required charities to register </w:t>
      </w:r>
      <w:proofErr w:type="gramStart"/>
      <w:r w:rsidRPr="0003207B">
        <w:rPr>
          <w:rFonts w:cstheme="minorHAnsi"/>
          <w:sz w:val="24"/>
          <w:szCs w:val="24"/>
        </w:rPr>
        <w:t>in order to</w:t>
      </w:r>
      <w:proofErr w:type="gramEnd"/>
      <w:r w:rsidRPr="0003207B">
        <w:rPr>
          <w:rFonts w:cstheme="minorHAnsi"/>
          <w:sz w:val="24"/>
          <w:szCs w:val="24"/>
        </w:rPr>
        <w:t xml:space="preserve"> solicit residents of their state. Of course, many of these states also include wide exemptions from the registration requirements, typically for charities with religious affiliations. For those charities which are not exempt, the typical registration includes:</w:t>
      </w:r>
    </w:p>
    <w:p w:rsidR="00235E38" w:rsidRPr="0003207B" w:rsidRDefault="00235E38" w:rsidP="00235E38">
      <w:pPr>
        <w:pStyle w:val="ListParagraph"/>
        <w:numPr>
          <w:ilvl w:val="0"/>
          <w:numId w:val="17"/>
        </w:numPr>
        <w:spacing w:after="120"/>
        <w:rPr>
          <w:rFonts w:cstheme="minorHAnsi"/>
        </w:rPr>
      </w:pPr>
      <w:r w:rsidRPr="0003207B">
        <w:rPr>
          <w:rFonts w:cstheme="minorHAnsi"/>
        </w:rPr>
        <w:t xml:space="preserve">An annual registration </w:t>
      </w:r>
      <w:proofErr w:type="gramStart"/>
      <w:r w:rsidRPr="0003207B">
        <w:rPr>
          <w:rFonts w:cstheme="minorHAnsi"/>
        </w:rPr>
        <w:t>statement</w:t>
      </w:r>
      <w:proofErr w:type="gramEnd"/>
    </w:p>
    <w:p w:rsidR="00235E38" w:rsidRPr="0003207B" w:rsidRDefault="00235E38" w:rsidP="00235E38">
      <w:pPr>
        <w:pStyle w:val="ListParagraph"/>
        <w:numPr>
          <w:ilvl w:val="0"/>
          <w:numId w:val="17"/>
        </w:numPr>
        <w:spacing w:after="120"/>
        <w:rPr>
          <w:rFonts w:cstheme="minorHAnsi"/>
        </w:rPr>
      </w:pPr>
      <w:r w:rsidRPr="0003207B">
        <w:rPr>
          <w:rFonts w:cstheme="minorHAnsi"/>
        </w:rPr>
        <w:t>A copy of your audited financial statements</w:t>
      </w:r>
    </w:p>
    <w:p w:rsidR="00235E38" w:rsidRPr="0003207B" w:rsidRDefault="00235E38" w:rsidP="00235E38">
      <w:pPr>
        <w:pStyle w:val="ListParagraph"/>
        <w:numPr>
          <w:ilvl w:val="0"/>
          <w:numId w:val="17"/>
        </w:numPr>
        <w:spacing w:after="120"/>
        <w:rPr>
          <w:rFonts w:cstheme="minorHAnsi"/>
        </w:rPr>
      </w:pPr>
      <w:r w:rsidRPr="0003207B">
        <w:rPr>
          <w:rFonts w:cstheme="minorHAnsi"/>
        </w:rPr>
        <w:t>Your most recent Form 990</w:t>
      </w:r>
    </w:p>
    <w:p w:rsidR="00235E38" w:rsidRPr="0003207B" w:rsidRDefault="00235E38" w:rsidP="00235E38">
      <w:pPr>
        <w:pStyle w:val="ListParagraph"/>
        <w:numPr>
          <w:ilvl w:val="0"/>
          <w:numId w:val="17"/>
        </w:numPr>
        <w:spacing w:after="120"/>
        <w:rPr>
          <w:rFonts w:cstheme="minorHAnsi"/>
        </w:rPr>
      </w:pPr>
      <w:r w:rsidRPr="0003207B">
        <w:rPr>
          <w:rFonts w:cstheme="minorHAnsi"/>
        </w:rPr>
        <w:t xml:space="preserve"> Copies of your articles of incorporation, by-laws and IRS determination letter. </w:t>
      </w:r>
    </w:p>
    <w:p w:rsidR="00235E38" w:rsidRPr="0003207B" w:rsidRDefault="00235E38" w:rsidP="00235E38">
      <w:pPr>
        <w:spacing w:after="120"/>
        <w:rPr>
          <w:rFonts w:cstheme="minorHAnsi"/>
          <w:sz w:val="24"/>
          <w:szCs w:val="24"/>
        </w:rPr>
      </w:pPr>
      <w:r w:rsidRPr="0003207B">
        <w:rPr>
          <w:rFonts w:cstheme="minorHAnsi"/>
          <w:sz w:val="24"/>
          <w:szCs w:val="24"/>
        </w:rPr>
        <w:lastRenderedPageBreak/>
        <w:t>Fortunately, most of the regulating states accept the Unified Registration Statement. To learn more about requirements in states where you solicit, visit these websites:</w:t>
      </w:r>
    </w:p>
    <w:p w:rsidR="00235E38" w:rsidRPr="0003207B" w:rsidRDefault="002F4280" w:rsidP="00235E38">
      <w:pPr>
        <w:numPr>
          <w:ilvl w:val="2"/>
          <w:numId w:val="14"/>
        </w:numPr>
        <w:spacing w:after="0" w:line="240" w:lineRule="auto"/>
        <w:rPr>
          <w:rFonts w:cstheme="minorHAnsi"/>
          <w:sz w:val="24"/>
          <w:szCs w:val="24"/>
        </w:rPr>
      </w:pPr>
      <w:hyperlink r:id="rId11" w:history="1">
        <w:r w:rsidR="00235E38" w:rsidRPr="0003207B">
          <w:rPr>
            <w:rStyle w:val="Hyperlink"/>
            <w:rFonts w:cstheme="minorHAnsi"/>
            <w:sz w:val="24"/>
            <w:szCs w:val="24"/>
          </w:rPr>
          <w:t>www.nasconet.org</w:t>
        </w:r>
      </w:hyperlink>
      <w:r w:rsidR="00235E38" w:rsidRPr="0003207B">
        <w:rPr>
          <w:rFonts w:cstheme="minorHAnsi"/>
          <w:sz w:val="24"/>
          <w:szCs w:val="24"/>
        </w:rPr>
        <w:t xml:space="preserve"> </w:t>
      </w:r>
    </w:p>
    <w:p w:rsidR="00235E38" w:rsidRPr="0003207B" w:rsidRDefault="002F4280" w:rsidP="00235E38">
      <w:pPr>
        <w:numPr>
          <w:ilvl w:val="2"/>
          <w:numId w:val="14"/>
        </w:numPr>
        <w:spacing w:after="0" w:line="240" w:lineRule="auto"/>
        <w:rPr>
          <w:rFonts w:cstheme="minorHAnsi"/>
          <w:sz w:val="24"/>
          <w:szCs w:val="24"/>
        </w:rPr>
      </w:pPr>
      <w:hyperlink r:id="rId12" w:history="1">
        <w:r w:rsidR="00235E38" w:rsidRPr="0003207B">
          <w:rPr>
            <w:rStyle w:val="Hyperlink"/>
            <w:rFonts w:cstheme="minorHAnsi"/>
            <w:sz w:val="24"/>
            <w:szCs w:val="24"/>
          </w:rPr>
          <w:t>www.multistatefiling.org</w:t>
        </w:r>
      </w:hyperlink>
      <w:r w:rsidR="00235E38" w:rsidRPr="0003207B">
        <w:rPr>
          <w:rFonts w:cstheme="minorHAnsi"/>
          <w:sz w:val="24"/>
          <w:szCs w:val="24"/>
        </w:rPr>
        <w:t xml:space="preserve"> </w:t>
      </w:r>
    </w:p>
    <w:p w:rsidR="00235E38" w:rsidRPr="0003207B" w:rsidRDefault="002F4280" w:rsidP="00235E38">
      <w:pPr>
        <w:numPr>
          <w:ilvl w:val="2"/>
          <w:numId w:val="14"/>
        </w:numPr>
        <w:spacing w:after="0" w:line="240" w:lineRule="auto"/>
        <w:rPr>
          <w:rFonts w:cstheme="minorHAnsi"/>
          <w:sz w:val="24"/>
          <w:szCs w:val="24"/>
        </w:rPr>
      </w:pPr>
      <w:hyperlink r:id="rId13" w:history="1">
        <w:r w:rsidR="00235E38" w:rsidRPr="0003207B">
          <w:rPr>
            <w:rStyle w:val="Hyperlink"/>
            <w:rFonts w:cstheme="minorHAnsi"/>
            <w:sz w:val="24"/>
            <w:szCs w:val="24"/>
          </w:rPr>
          <w:t>www.fundraisingregistration.com</w:t>
        </w:r>
      </w:hyperlink>
      <w:r w:rsidR="00235E38" w:rsidRPr="0003207B">
        <w:rPr>
          <w:rFonts w:cstheme="minorHAnsi"/>
          <w:sz w:val="24"/>
          <w:szCs w:val="24"/>
          <w:u w:val="single"/>
        </w:rPr>
        <w:t xml:space="preserve">  </w:t>
      </w:r>
    </w:p>
    <w:p w:rsidR="00235E38" w:rsidRPr="0003207B" w:rsidRDefault="00235E38" w:rsidP="00235E38">
      <w:pPr>
        <w:ind w:left="2160"/>
        <w:rPr>
          <w:rFonts w:cstheme="minorHAnsi"/>
          <w:sz w:val="24"/>
          <w:szCs w:val="24"/>
        </w:rPr>
      </w:pPr>
    </w:p>
    <w:p w:rsidR="00235E38" w:rsidRPr="0003207B" w:rsidRDefault="00235E38" w:rsidP="00235E38">
      <w:pPr>
        <w:rPr>
          <w:rFonts w:cstheme="minorHAnsi"/>
          <w:sz w:val="24"/>
          <w:szCs w:val="24"/>
        </w:rPr>
      </w:pPr>
      <w:r w:rsidRPr="0003207B">
        <w:rPr>
          <w:rFonts w:cstheme="minorHAnsi"/>
          <w:sz w:val="24"/>
          <w:szCs w:val="24"/>
        </w:rPr>
        <w:t>If you feel you need help in completing the registration process, the following vendors work in this space:</w:t>
      </w:r>
    </w:p>
    <w:p w:rsidR="00235E38" w:rsidRPr="0003207B" w:rsidRDefault="00235E38" w:rsidP="00235E38">
      <w:pPr>
        <w:numPr>
          <w:ilvl w:val="2"/>
          <w:numId w:val="15"/>
        </w:numPr>
        <w:spacing w:after="0" w:line="240" w:lineRule="auto"/>
        <w:rPr>
          <w:rFonts w:cstheme="minorHAnsi"/>
          <w:sz w:val="24"/>
          <w:szCs w:val="24"/>
        </w:rPr>
      </w:pPr>
      <w:r w:rsidRPr="0003207B">
        <w:rPr>
          <w:rFonts w:cstheme="minorHAnsi"/>
          <w:sz w:val="24"/>
          <w:szCs w:val="24"/>
        </w:rPr>
        <w:t xml:space="preserve">Affinity Fundraising Registration – </w:t>
      </w:r>
      <w:hyperlink r:id="rId14" w:history="1">
        <w:r w:rsidRPr="0003207B">
          <w:rPr>
            <w:rStyle w:val="Hyperlink"/>
            <w:rFonts w:cstheme="minorHAnsi"/>
            <w:sz w:val="24"/>
            <w:szCs w:val="24"/>
          </w:rPr>
          <w:t>www.fundraisingregistration.com</w:t>
        </w:r>
      </w:hyperlink>
      <w:r w:rsidRPr="0003207B">
        <w:rPr>
          <w:rFonts w:cstheme="minorHAnsi"/>
          <w:sz w:val="24"/>
          <w:szCs w:val="24"/>
        </w:rPr>
        <w:t xml:space="preserve"> </w:t>
      </w:r>
    </w:p>
    <w:p w:rsidR="00235E38" w:rsidRPr="0003207B" w:rsidRDefault="00235E38" w:rsidP="00235E38">
      <w:pPr>
        <w:numPr>
          <w:ilvl w:val="2"/>
          <w:numId w:val="15"/>
        </w:numPr>
        <w:spacing w:after="0" w:line="240" w:lineRule="auto"/>
        <w:rPr>
          <w:rFonts w:cstheme="minorHAnsi"/>
          <w:sz w:val="24"/>
          <w:szCs w:val="24"/>
        </w:rPr>
      </w:pPr>
      <w:r w:rsidRPr="0003207B">
        <w:rPr>
          <w:rFonts w:cstheme="minorHAnsi"/>
          <w:sz w:val="24"/>
          <w:szCs w:val="24"/>
        </w:rPr>
        <w:t xml:space="preserve">Charitable Registry – </w:t>
      </w:r>
      <w:hyperlink r:id="rId15" w:history="1">
        <w:r w:rsidRPr="0003207B">
          <w:rPr>
            <w:rStyle w:val="Hyperlink"/>
            <w:rFonts w:cstheme="minorHAnsi"/>
            <w:sz w:val="24"/>
            <w:szCs w:val="24"/>
          </w:rPr>
          <w:t>www.charitableregistry.com</w:t>
        </w:r>
      </w:hyperlink>
      <w:r w:rsidRPr="0003207B">
        <w:rPr>
          <w:rFonts w:cstheme="minorHAnsi"/>
          <w:sz w:val="24"/>
          <w:szCs w:val="24"/>
        </w:rPr>
        <w:t xml:space="preserve"> </w:t>
      </w:r>
    </w:p>
    <w:p w:rsidR="00235E38" w:rsidRPr="0003207B" w:rsidRDefault="00235E38" w:rsidP="00235E38">
      <w:pPr>
        <w:numPr>
          <w:ilvl w:val="2"/>
          <w:numId w:val="15"/>
        </w:numPr>
        <w:spacing w:after="0" w:line="240" w:lineRule="auto"/>
        <w:rPr>
          <w:rFonts w:cstheme="minorHAnsi"/>
          <w:sz w:val="24"/>
          <w:szCs w:val="24"/>
        </w:rPr>
      </w:pPr>
      <w:proofErr w:type="spellStart"/>
      <w:r w:rsidRPr="0003207B">
        <w:rPr>
          <w:rFonts w:cstheme="minorHAnsi"/>
          <w:sz w:val="24"/>
          <w:szCs w:val="24"/>
        </w:rPr>
        <w:t>Copilevitz</w:t>
      </w:r>
      <w:proofErr w:type="spellEnd"/>
      <w:r w:rsidRPr="0003207B">
        <w:rPr>
          <w:rFonts w:cstheme="minorHAnsi"/>
          <w:sz w:val="24"/>
          <w:szCs w:val="24"/>
        </w:rPr>
        <w:t xml:space="preserve"> &amp; Canter – </w:t>
      </w:r>
      <w:hyperlink r:id="rId16" w:history="1">
        <w:r w:rsidRPr="0003207B">
          <w:rPr>
            <w:rStyle w:val="Hyperlink"/>
            <w:rFonts w:cstheme="minorHAnsi"/>
            <w:sz w:val="24"/>
            <w:szCs w:val="24"/>
          </w:rPr>
          <w:t>http://www.copilevitz-canter.com/</w:t>
        </w:r>
      </w:hyperlink>
    </w:p>
    <w:p w:rsidR="00235E38" w:rsidRPr="0003207B" w:rsidRDefault="00235E38" w:rsidP="00235E38">
      <w:pPr>
        <w:numPr>
          <w:ilvl w:val="2"/>
          <w:numId w:val="15"/>
        </w:numPr>
        <w:spacing w:after="0" w:line="240" w:lineRule="auto"/>
        <w:rPr>
          <w:rFonts w:cstheme="minorHAnsi"/>
          <w:sz w:val="24"/>
          <w:szCs w:val="24"/>
        </w:rPr>
      </w:pPr>
      <w:proofErr w:type="spellStart"/>
      <w:r w:rsidRPr="0003207B">
        <w:rPr>
          <w:rFonts w:cstheme="minorHAnsi"/>
          <w:sz w:val="24"/>
          <w:szCs w:val="24"/>
        </w:rPr>
        <w:t>Martignetti</w:t>
      </w:r>
      <w:proofErr w:type="spellEnd"/>
      <w:r w:rsidRPr="0003207B">
        <w:rPr>
          <w:rFonts w:cstheme="minorHAnsi"/>
          <w:sz w:val="24"/>
          <w:szCs w:val="24"/>
        </w:rPr>
        <w:t xml:space="preserve"> Planned Giving Advisors – </w:t>
      </w:r>
      <w:hyperlink r:id="rId17" w:history="1">
        <w:r w:rsidRPr="0003207B">
          <w:rPr>
            <w:rStyle w:val="Hyperlink"/>
            <w:rFonts w:cstheme="minorHAnsi"/>
            <w:sz w:val="24"/>
            <w:szCs w:val="24"/>
          </w:rPr>
          <w:t>www.mpgadv.com</w:t>
        </w:r>
      </w:hyperlink>
      <w:r w:rsidRPr="0003207B">
        <w:rPr>
          <w:rFonts w:cstheme="minorHAnsi"/>
          <w:sz w:val="24"/>
          <w:szCs w:val="24"/>
        </w:rPr>
        <w:t xml:space="preserve"> </w:t>
      </w:r>
    </w:p>
    <w:p w:rsidR="00235E38" w:rsidRPr="0003207B" w:rsidRDefault="00235E38" w:rsidP="00235E38">
      <w:pPr>
        <w:numPr>
          <w:ilvl w:val="2"/>
          <w:numId w:val="15"/>
        </w:numPr>
        <w:spacing w:after="0" w:line="240" w:lineRule="auto"/>
        <w:rPr>
          <w:rFonts w:cstheme="minorHAnsi"/>
          <w:sz w:val="24"/>
          <w:szCs w:val="24"/>
        </w:rPr>
      </w:pPr>
      <w:r w:rsidRPr="0003207B">
        <w:rPr>
          <w:rFonts w:cstheme="minorHAnsi"/>
          <w:sz w:val="24"/>
          <w:szCs w:val="24"/>
        </w:rPr>
        <w:t xml:space="preserve">Montgomery, McCracken, Walker &amp; Rhoads, LLP – </w:t>
      </w:r>
      <w:hyperlink r:id="rId18" w:history="1">
        <w:r w:rsidRPr="0003207B">
          <w:rPr>
            <w:rStyle w:val="Hyperlink"/>
            <w:rFonts w:cstheme="minorHAnsi"/>
            <w:sz w:val="24"/>
            <w:szCs w:val="24"/>
          </w:rPr>
          <w:t>www.mmwr.com</w:t>
        </w:r>
      </w:hyperlink>
      <w:r w:rsidRPr="0003207B">
        <w:rPr>
          <w:rFonts w:cstheme="minorHAnsi"/>
          <w:sz w:val="24"/>
          <w:szCs w:val="24"/>
          <w:u w:val="single"/>
        </w:rPr>
        <w:t xml:space="preserve"> </w:t>
      </w:r>
    </w:p>
    <w:p w:rsidR="00235E38" w:rsidRPr="0003207B" w:rsidRDefault="00235E38" w:rsidP="00235E38">
      <w:pPr>
        <w:numPr>
          <w:ilvl w:val="2"/>
          <w:numId w:val="15"/>
        </w:numPr>
        <w:spacing w:after="0" w:line="240" w:lineRule="auto"/>
        <w:rPr>
          <w:rFonts w:cstheme="minorHAnsi"/>
          <w:sz w:val="24"/>
          <w:szCs w:val="24"/>
        </w:rPr>
      </w:pPr>
      <w:r w:rsidRPr="0003207B">
        <w:rPr>
          <w:rFonts w:cstheme="minorHAnsi"/>
          <w:sz w:val="24"/>
          <w:szCs w:val="24"/>
        </w:rPr>
        <w:t xml:space="preserve">Perlman &amp; Perlman – </w:t>
      </w:r>
      <w:hyperlink r:id="rId19" w:history="1">
        <w:r w:rsidRPr="0003207B">
          <w:rPr>
            <w:rStyle w:val="Hyperlink"/>
            <w:rFonts w:cstheme="minorHAnsi"/>
            <w:sz w:val="24"/>
            <w:szCs w:val="24"/>
          </w:rPr>
          <w:t>www.perlmanandperlman.com</w:t>
        </w:r>
      </w:hyperlink>
      <w:r w:rsidRPr="0003207B">
        <w:rPr>
          <w:rFonts w:cstheme="minorHAnsi"/>
          <w:sz w:val="24"/>
          <w:szCs w:val="24"/>
        </w:rPr>
        <w:t xml:space="preserve"> </w:t>
      </w:r>
    </w:p>
    <w:p w:rsidR="00235E38" w:rsidRPr="0003207B" w:rsidRDefault="00235E38" w:rsidP="00235E38">
      <w:pPr>
        <w:numPr>
          <w:ilvl w:val="2"/>
          <w:numId w:val="15"/>
        </w:numPr>
        <w:spacing w:after="0" w:line="240" w:lineRule="auto"/>
        <w:rPr>
          <w:rFonts w:cstheme="minorHAnsi"/>
          <w:sz w:val="24"/>
          <w:szCs w:val="24"/>
        </w:rPr>
      </w:pPr>
      <w:r w:rsidRPr="0003207B">
        <w:rPr>
          <w:rFonts w:cstheme="minorHAnsi"/>
          <w:sz w:val="24"/>
          <w:szCs w:val="24"/>
        </w:rPr>
        <w:t xml:space="preserve">Webster, Chamberlain &amp; Bean – </w:t>
      </w:r>
      <w:hyperlink r:id="rId20" w:history="1">
        <w:r w:rsidRPr="0003207B">
          <w:rPr>
            <w:rStyle w:val="Hyperlink"/>
            <w:rFonts w:cstheme="minorHAnsi"/>
            <w:sz w:val="24"/>
            <w:szCs w:val="24"/>
          </w:rPr>
          <w:t>www.wc-b.com</w:t>
        </w:r>
      </w:hyperlink>
      <w:r w:rsidRPr="0003207B">
        <w:rPr>
          <w:rFonts w:cstheme="minorHAnsi"/>
          <w:sz w:val="24"/>
          <w:szCs w:val="24"/>
        </w:rPr>
        <w:t xml:space="preserve"> </w:t>
      </w:r>
    </w:p>
    <w:p w:rsidR="00235E38" w:rsidRPr="0003207B" w:rsidRDefault="00235E38" w:rsidP="00235E38">
      <w:pPr>
        <w:rPr>
          <w:rFonts w:cstheme="minorHAnsi"/>
          <w:sz w:val="24"/>
          <w:szCs w:val="24"/>
        </w:rPr>
      </w:pPr>
    </w:p>
    <w:p w:rsidR="00235E38" w:rsidRPr="0003207B" w:rsidRDefault="00235E38" w:rsidP="00235E38">
      <w:pPr>
        <w:rPr>
          <w:rFonts w:cstheme="minorHAnsi"/>
          <w:sz w:val="24"/>
          <w:szCs w:val="24"/>
        </w:rPr>
      </w:pPr>
      <w:r w:rsidRPr="0003207B">
        <w:rPr>
          <w:rFonts w:cstheme="minorHAnsi"/>
          <w:sz w:val="24"/>
          <w:szCs w:val="24"/>
        </w:rPr>
        <w:t xml:space="preserve">While we cannot vouch for a </w:t>
      </w:r>
      <w:proofErr w:type="gramStart"/>
      <w:r w:rsidRPr="0003207B">
        <w:rPr>
          <w:rFonts w:cstheme="minorHAnsi"/>
          <w:sz w:val="24"/>
          <w:szCs w:val="24"/>
        </w:rPr>
        <w:t>particular vendor</w:t>
      </w:r>
      <w:proofErr w:type="gramEnd"/>
      <w:r w:rsidRPr="0003207B">
        <w:rPr>
          <w:rFonts w:cstheme="minorHAnsi"/>
          <w:sz w:val="24"/>
          <w:szCs w:val="24"/>
        </w:rPr>
        <w:t>, and there may be others which offer these services, most large charities use such vendors to maintain their registrations due to the diversity of rules across the different states.</w:t>
      </w:r>
    </w:p>
    <w:p w:rsidR="00235E38" w:rsidRPr="0003207B" w:rsidRDefault="00235E38" w:rsidP="00235E38">
      <w:pPr>
        <w:rPr>
          <w:rFonts w:cstheme="minorHAnsi"/>
          <w:sz w:val="24"/>
          <w:szCs w:val="24"/>
        </w:rPr>
      </w:pPr>
    </w:p>
    <w:p w:rsidR="00235E38" w:rsidRPr="0003207B" w:rsidRDefault="00235E38" w:rsidP="00235E38">
      <w:pPr>
        <w:rPr>
          <w:rFonts w:cstheme="minorHAnsi"/>
          <w:i/>
          <w:sz w:val="24"/>
          <w:szCs w:val="24"/>
        </w:rPr>
      </w:pPr>
      <w:r w:rsidRPr="0003207B">
        <w:rPr>
          <w:rFonts w:cstheme="minorHAnsi"/>
          <w:i/>
          <w:sz w:val="24"/>
          <w:szCs w:val="24"/>
        </w:rPr>
        <w:t>Registration to Issue Charitable Gift Annuities</w:t>
      </w:r>
    </w:p>
    <w:p w:rsidR="00235E38" w:rsidRPr="0003207B" w:rsidRDefault="00235E38" w:rsidP="00235E38">
      <w:pPr>
        <w:rPr>
          <w:rFonts w:cstheme="minorHAnsi"/>
          <w:sz w:val="24"/>
          <w:szCs w:val="24"/>
        </w:rPr>
      </w:pPr>
      <w:r w:rsidRPr="0003207B">
        <w:rPr>
          <w:rFonts w:cstheme="minorHAnsi"/>
          <w:sz w:val="24"/>
          <w:szCs w:val="24"/>
        </w:rPr>
        <w:t xml:space="preserve">Registration to issue gift annuities is one of the more complex areas of planned giving. Unfortunately, despite efforts to create uniform standards for regulating gift annuities, each state has its own set of rules regarding which charities can issue gift annuities and how the reserve accounts for those gift annuities should be invested. </w:t>
      </w:r>
    </w:p>
    <w:p w:rsidR="00235E38" w:rsidRPr="0003207B" w:rsidRDefault="00235E38" w:rsidP="00235E38">
      <w:pPr>
        <w:rPr>
          <w:rFonts w:cstheme="minorHAnsi"/>
          <w:sz w:val="24"/>
          <w:szCs w:val="24"/>
        </w:rPr>
      </w:pPr>
      <w:r w:rsidRPr="0003207B">
        <w:rPr>
          <w:rFonts w:cstheme="minorHAnsi"/>
          <w:sz w:val="24"/>
          <w:szCs w:val="24"/>
        </w:rPr>
        <w:t xml:space="preserve">States generally fall into four general categories </w:t>
      </w:r>
      <w:proofErr w:type="gramStart"/>
      <w:r w:rsidRPr="0003207B">
        <w:rPr>
          <w:rFonts w:cstheme="minorHAnsi"/>
          <w:sz w:val="24"/>
          <w:szCs w:val="24"/>
        </w:rPr>
        <w:t>in regards to</w:t>
      </w:r>
      <w:proofErr w:type="gramEnd"/>
      <w:r w:rsidRPr="0003207B">
        <w:rPr>
          <w:rFonts w:cstheme="minorHAnsi"/>
          <w:sz w:val="24"/>
          <w:szCs w:val="24"/>
        </w:rPr>
        <w:t xml:space="preserve"> issuing gift annuities: </w:t>
      </w:r>
    </w:p>
    <w:p w:rsidR="00235E38" w:rsidRPr="0003207B" w:rsidRDefault="00235E38" w:rsidP="00235E38">
      <w:pPr>
        <w:pStyle w:val="ListParagraph"/>
        <w:numPr>
          <w:ilvl w:val="0"/>
          <w:numId w:val="18"/>
        </w:numPr>
        <w:rPr>
          <w:rFonts w:cstheme="minorHAnsi"/>
        </w:rPr>
      </w:pPr>
      <w:r w:rsidRPr="0003207B">
        <w:rPr>
          <w:rFonts w:cstheme="minorHAnsi"/>
        </w:rPr>
        <w:t>Approximately 16 states require you to notify them that you plan to solicit gift annuities, register, and make an annual filing.</w:t>
      </w:r>
    </w:p>
    <w:p w:rsidR="00235E38" w:rsidRPr="0003207B" w:rsidRDefault="00235E38" w:rsidP="00235E38">
      <w:pPr>
        <w:pStyle w:val="ListParagraph"/>
        <w:numPr>
          <w:ilvl w:val="0"/>
          <w:numId w:val="18"/>
        </w:numPr>
        <w:rPr>
          <w:rFonts w:cstheme="minorHAnsi"/>
        </w:rPr>
      </w:pPr>
      <w:r w:rsidRPr="0003207B">
        <w:rPr>
          <w:rFonts w:cstheme="minorHAnsi"/>
        </w:rPr>
        <w:t>Another 11 require initial notification/registration, but nothing further.</w:t>
      </w:r>
    </w:p>
    <w:p w:rsidR="00235E38" w:rsidRPr="0003207B" w:rsidRDefault="00235E38" w:rsidP="00235E38">
      <w:pPr>
        <w:pStyle w:val="ListParagraph"/>
        <w:numPr>
          <w:ilvl w:val="0"/>
          <w:numId w:val="18"/>
        </w:numPr>
        <w:rPr>
          <w:rFonts w:cstheme="minorHAnsi"/>
        </w:rPr>
      </w:pPr>
      <w:r w:rsidRPr="0003207B">
        <w:rPr>
          <w:rFonts w:cstheme="minorHAnsi"/>
        </w:rPr>
        <w:t>Eighteen other states require that charities meet certain criteria, but there is no annual filing or registration</w:t>
      </w:r>
    </w:p>
    <w:p w:rsidR="00235E38" w:rsidRPr="0003207B" w:rsidRDefault="00235E38" w:rsidP="00235E38">
      <w:pPr>
        <w:pStyle w:val="ListParagraph"/>
        <w:numPr>
          <w:ilvl w:val="0"/>
          <w:numId w:val="18"/>
        </w:numPr>
        <w:rPr>
          <w:rFonts w:cstheme="minorHAnsi"/>
        </w:rPr>
      </w:pPr>
      <w:r w:rsidRPr="0003207B">
        <w:rPr>
          <w:rFonts w:cstheme="minorHAnsi"/>
        </w:rPr>
        <w:t>Six are silent on the issue.</w:t>
      </w:r>
    </w:p>
    <w:p w:rsidR="00235E38" w:rsidRPr="0003207B" w:rsidRDefault="00235E38" w:rsidP="00235E38">
      <w:pPr>
        <w:rPr>
          <w:rFonts w:cstheme="minorHAnsi"/>
          <w:sz w:val="24"/>
          <w:szCs w:val="24"/>
        </w:rPr>
      </w:pPr>
    </w:p>
    <w:p w:rsidR="00235E38" w:rsidRPr="0003207B" w:rsidRDefault="00235E38" w:rsidP="00235E38">
      <w:pPr>
        <w:rPr>
          <w:rFonts w:cstheme="minorHAnsi"/>
          <w:sz w:val="24"/>
          <w:szCs w:val="24"/>
        </w:rPr>
      </w:pPr>
      <w:r w:rsidRPr="0003207B">
        <w:rPr>
          <w:rFonts w:cstheme="minorHAnsi"/>
          <w:sz w:val="24"/>
          <w:szCs w:val="24"/>
        </w:rPr>
        <w:t>For more information about various states, visit www.acga-web.org.</w:t>
      </w:r>
    </w:p>
    <w:p w:rsidR="00235E38" w:rsidRPr="0003207B" w:rsidRDefault="00235E38" w:rsidP="00235E38">
      <w:pPr>
        <w:rPr>
          <w:rFonts w:cstheme="minorHAnsi"/>
          <w:sz w:val="24"/>
          <w:szCs w:val="24"/>
        </w:rPr>
      </w:pPr>
      <w:r w:rsidRPr="0003207B">
        <w:rPr>
          <w:rFonts w:cstheme="minorHAnsi"/>
          <w:sz w:val="24"/>
          <w:szCs w:val="24"/>
        </w:rPr>
        <w:lastRenderedPageBreak/>
        <w:t xml:space="preserve">Even though registration to issue gift annuities is the most complex, the good news is that </w:t>
      </w:r>
      <w:r w:rsidRPr="0003207B">
        <w:rPr>
          <w:rFonts w:cstheme="minorHAnsi"/>
          <w:i/>
          <w:sz w:val="24"/>
          <w:szCs w:val="24"/>
        </w:rPr>
        <w:t>most charities never need to register</w:t>
      </w:r>
      <w:r w:rsidRPr="0003207B">
        <w:rPr>
          <w:rFonts w:cstheme="minorHAnsi"/>
          <w:sz w:val="24"/>
          <w:szCs w:val="24"/>
        </w:rPr>
        <w:t xml:space="preserve">. As you know, Planned </w:t>
      </w:r>
      <w:proofErr w:type="gramStart"/>
      <w:r w:rsidRPr="0003207B">
        <w:rPr>
          <w:rFonts w:cstheme="minorHAnsi"/>
          <w:sz w:val="24"/>
          <w:szCs w:val="24"/>
        </w:rPr>
        <w:t>Giving</w:t>
      </w:r>
      <w:proofErr w:type="gramEnd"/>
      <w:r w:rsidRPr="0003207B">
        <w:rPr>
          <w:rFonts w:cstheme="minorHAnsi"/>
          <w:sz w:val="24"/>
          <w:szCs w:val="24"/>
        </w:rPr>
        <w:t xml:space="preserve"> in a Box helps you to create a basic planned giving program to solicit gifts from people’s wills, retirement plans and life insurance policies. And these gifts make up 80% of all planned giving receipts. Someday you may elect to offer gift annuities, and when you do, we’ll be able to help you find the vendors to help complete that registration, or even suggest alternatives which you can offer instead of registering to issue gift annuities. But for now, let’s focus on the basics, where 80% of the planned giving dollars come from.</w:t>
      </w:r>
    </w:p>
    <w:p w:rsidR="00235E38" w:rsidRPr="0003207B" w:rsidRDefault="00235E38" w:rsidP="00235E38">
      <w:pPr>
        <w:rPr>
          <w:rFonts w:cstheme="minorHAnsi"/>
          <w:sz w:val="24"/>
          <w:szCs w:val="24"/>
        </w:rPr>
      </w:pPr>
    </w:p>
    <w:p w:rsidR="00235E38" w:rsidRPr="0003207B" w:rsidRDefault="00235E38" w:rsidP="00235E38">
      <w:pPr>
        <w:rPr>
          <w:rFonts w:cstheme="minorHAnsi"/>
          <w:sz w:val="24"/>
          <w:szCs w:val="24"/>
          <w:highlight w:val="red"/>
        </w:rPr>
      </w:pPr>
    </w:p>
    <w:p w:rsidR="0003207B" w:rsidRDefault="0003207B" w:rsidP="00235E38">
      <w:pPr>
        <w:spacing w:after="120"/>
        <w:rPr>
          <w:rFonts w:cstheme="minorHAnsi"/>
          <w:sz w:val="24"/>
          <w:szCs w:val="24"/>
        </w:rPr>
      </w:pPr>
    </w:p>
    <w:p w:rsidR="0003207B" w:rsidRDefault="0003207B" w:rsidP="00235E38">
      <w:pPr>
        <w:spacing w:after="120"/>
        <w:rPr>
          <w:rFonts w:cstheme="minorHAnsi"/>
          <w:sz w:val="24"/>
          <w:szCs w:val="24"/>
        </w:rPr>
      </w:pPr>
    </w:p>
    <w:p w:rsidR="0003207B" w:rsidRDefault="0003207B" w:rsidP="00235E38">
      <w:pPr>
        <w:spacing w:after="120"/>
        <w:rPr>
          <w:rFonts w:cstheme="minorHAnsi"/>
          <w:sz w:val="24"/>
          <w:szCs w:val="24"/>
        </w:rPr>
      </w:pPr>
    </w:p>
    <w:p w:rsidR="0003207B" w:rsidRDefault="0003207B" w:rsidP="00235E38">
      <w:pPr>
        <w:spacing w:after="120"/>
        <w:rPr>
          <w:rFonts w:cstheme="minorHAnsi"/>
          <w:sz w:val="24"/>
          <w:szCs w:val="24"/>
        </w:rPr>
      </w:pPr>
    </w:p>
    <w:p w:rsidR="0003207B" w:rsidRDefault="0003207B" w:rsidP="00235E38">
      <w:pPr>
        <w:spacing w:after="120"/>
        <w:rPr>
          <w:rFonts w:cstheme="minorHAnsi"/>
          <w:sz w:val="24"/>
          <w:szCs w:val="24"/>
        </w:rPr>
      </w:pPr>
    </w:p>
    <w:p w:rsidR="0003207B" w:rsidRDefault="0003207B" w:rsidP="00235E38">
      <w:pPr>
        <w:spacing w:after="120"/>
        <w:rPr>
          <w:rFonts w:cstheme="minorHAnsi"/>
          <w:sz w:val="24"/>
          <w:szCs w:val="24"/>
        </w:rPr>
      </w:pPr>
    </w:p>
    <w:p w:rsidR="0003207B" w:rsidRDefault="0003207B" w:rsidP="00235E38">
      <w:pPr>
        <w:spacing w:after="120"/>
        <w:rPr>
          <w:rFonts w:cstheme="minorHAnsi"/>
          <w:sz w:val="24"/>
          <w:szCs w:val="24"/>
        </w:rPr>
      </w:pPr>
    </w:p>
    <w:p w:rsidR="0003207B" w:rsidRDefault="0003207B" w:rsidP="00235E38">
      <w:pPr>
        <w:spacing w:after="120"/>
        <w:rPr>
          <w:rFonts w:cstheme="minorHAnsi"/>
          <w:sz w:val="24"/>
          <w:szCs w:val="24"/>
        </w:rPr>
      </w:pPr>
    </w:p>
    <w:p w:rsidR="0003207B" w:rsidRDefault="0003207B" w:rsidP="00235E38">
      <w:pPr>
        <w:spacing w:after="120"/>
        <w:rPr>
          <w:rFonts w:cstheme="minorHAnsi"/>
          <w:sz w:val="24"/>
          <w:szCs w:val="24"/>
        </w:rPr>
      </w:pPr>
    </w:p>
    <w:p w:rsidR="0003207B" w:rsidRDefault="0003207B" w:rsidP="00235E38">
      <w:pPr>
        <w:spacing w:after="120"/>
        <w:rPr>
          <w:rFonts w:cstheme="minorHAnsi"/>
          <w:sz w:val="24"/>
          <w:szCs w:val="24"/>
        </w:rPr>
      </w:pPr>
    </w:p>
    <w:p w:rsidR="0003207B" w:rsidRDefault="0003207B" w:rsidP="00235E38">
      <w:pPr>
        <w:spacing w:after="120"/>
        <w:rPr>
          <w:rFonts w:cstheme="minorHAnsi"/>
          <w:sz w:val="24"/>
          <w:szCs w:val="24"/>
        </w:rPr>
      </w:pPr>
    </w:p>
    <w:p w:rsidR="0003207B" w:rsidRDefault="0003207B" w:rsidP="00235E38">
      <w:pPr>
        <w:spacing w:after="120"/>
        <w:rPr>
          <w:rFonts w:cstheme="minorHAnsi"/>
          <w:sz w:val="24"/>
          <w:szCs w:val="24"/>
        </w:rPr>
      </w:pPr>
    </w:p>
    <w:p w:rsidR="0003207B" w:rsidRDefault="0003207B" w:rsidP="00235E38">
      <w:pPr>
        <w:spacing w:after="120"/>
        <w:rPr>
          <w:rFonts w:cstheme="minorHAnsi"/>
          <w:sz w:val="24"/>
          <w:szCs w:val="24"/>
        </w:rPr>
      </w:pPr>
    </w:p>
    <w:p w:rsidR="0003207B" w:rsidRDefault="0003207B" w:rsidP="00235E38">
      <w:pPr>
        <w:spacing w:after="120"/>
        <w:rPr>
          <w:rFonts w:cstheme="minorHAnsi"/>
          <w:sz w:val="24"/>
          <w:szCs w:val="24"/>
        </w:rPr>
      </w:pPr>
    </w:p>
    <w:p w:rsidR="0003207B" w:rsidRDefault="0003207B" w:rsidP="00235E38">
      <w:pPr>
        <w:spacing w:after="120"/>
        <w:rPr>
          <w:rFonts w:cstheme="minorHAnsi"/>
          <w:sz w:val="24"/>
          <w:szCs w:val="24"/>
        </w:rPr>
      </w:pPr>
    </w:p>
    <w:p w:rsidR="0003207B" w:rsidRDefault="0003207B" w:rsidP="00235E38">
      <w:pPr>
        <w:spacing w:after="120"/>
        <w:rPr>
          <w:rFonts w:cstheme="minorHAnsi"/>
          <w:sz w:val="24"/>
          <w:szCs w:val="24"/>
        </w:rPr>
      </w:pPr>
    </w:p>
    <w:p w:rsidR="0003207B" w:rsidRDefault="0003207B" w:rsidP="00235E38">
      <w:pPr>
        <w:spacing w:after="120"/>
        <w:rPr>
          <w:rFonts w:cstheme="minorHAnsi"/>
          <w:sz w:val="24"/>
          <w:szCs w:val="24"/>
        </w:rPr>
      </w:pPr>
    </w:p>
    <w:p w:rsidR="0003207B" w:rsidRDefault="0003207B" w:rsidP="00235E38">
      <w:pPr>
        <w:spacing w:after="120"/>
        <w:rPr>
          <w:rFonts w:cstheme="minorHAnsi"/>
          <w:sz w:val="24"/>
          <w:szCs w:val="24"/>
        </w:rPr>
      </w:pPr>
    </w:p>
    <w:p w:rsidR="008A7801" w:rsidRDefault="008A7801" w:rsidP="00235E38">
      <w:pPr>
        <w:spacing w:after="120"/>
        <w:rPr>
          <w:rFonts w:asciiTheme="majorHAnsi" w:hAnsiTheme="majorHAnsi" w:cstheme="majorHAnsi"/>
          <w:sz w:val="36"/>
          <w:szCs w:val="36"/>
        </w:rPr>
      </w:pPr>
    </w:p>
    <w:p w:rsidR="00235E38" w:rsidRPr="0003207B" w:rsidRDefault="0003207B" w:rsidP="00235E38">
      <w:pPr>
        <w:spacing w:after="120"/>
        <w:rPr>
          <w:rFonts w:asciiTheme="majorHAnsi" w:hAnsiTheme="majorHAnsi" w:cstheme="majorHAnsi"/>
          <w:sz w:val="36"/>
          <w:szCs w:val="36"/>
        </w:rPr>
      </w:pPr>
      <w:r w:rsidRPr="0003207B">
        <w:rPr>
          <w:rFonts w:asciiTheme="majorHAnsi" w:hAnsiTheme="majorHAnsi" w:cstheme="majorHAnsi"/>
          <w:sz w:val="36"/>
          <w:szCs w:val="36"/>
        </w:rPr>
        <w:lastRenderedPageBreak/>
        <w:t>PROJECTS</w:t>
      </w:r>
    </w:p>
    <w:p w:rsidR="00235E38" w:rsidRPr="0003207B" w:rsidRDefault="00235E38" w:rsidP="00235E38">
      <w:pPr>
        <w:rPr>
          <w:rFonts w:cstheme="minorHAnsi"/>
          <w:sz w:val="24"/>
          <w:szCs w:val="24"/>
        </w:rPr>
      </w:pPr>
    </w:p>
    <w:p w:rsidR="00235E38" w:rsidRPr="0003207B" w:rsidRDefault="00235E38" w:rsidP="00235E38">
      <w:pPr>
        <w:spacing w:after="120"/>
        <w:rPr>
          <w:rFonts w:cstheme="minorHAnsi"/>
          <w:b/>
          <w:sz w:val="24"/>
          <w:szCs w:val="24"/>
        </w:rPr>
      </w:pPr>
      <w:r w:rsidRPr="0003207B">
        <w:rPr>
          <w:rFonts w:cstheme="minorHAnsi"/>
          <w:b/>
          <w:sz w:val="24"/>
          <w:szCs w:val="24"/>
        </w:rPr>
        <w:t>Project 14: Adopt the Model Standards of Practice for the Charitable Gift Planner</w:t>
      </w:r>
    </w:p>
    <w:p w:rsidR="00235E38" w:rsidRPr="0003207B" w:rsidRDefault="00235E38" w:rsidP="00235E38">
      <w:pPr>
        <w:spacing w:after="120"/>
        <w:rPr>
          <w:rFonts w:cstheme="minorHAnsi"/>
          <w:sz w:val="24"/>
          <w:szCs w:val="24"/>
        </w:rPr>
      </w:pPr>
      <w:r w:rsidRPr="0003207B">
        <w:rPr>
          <w:rFonts w:cstheme="minorHAnsi"/>
          <w:sz w:val="24"/>
          <w:szCs w:val="24"/>
        </w:rPr>
        <w:t>As an organization embarking on a planned giving program, you should adopt the Model Standards for your organization.</w:t>
      </w:r>
    </w:p>
    <w:p w:rsidR="00235E38" w:rsidRPr="0003207B" w:rsidRDefault="00235E38" w:rsidP="00235E38">
      <w:pPr>
        <w:spacing w:after="120"/>
        <w:rPr>
          <w:rFonts w:cstheme="minorHAnsi"/>
          <w:sz w:val="24"/>
          <w:szCs w:val="24"/>
        </w:rPr>
      </w:pPr>
      <w:r w:rsidRPr="0003207B">
        <w:rPr>
          <w:rFonts w:cstheme="minorHAnsi"/>
          <w:sz w:val="24"/>
          <w:szCs w:val="24"/>
        </w:rPr>
        <w:t xml:space="preserve">Ideally the lead staff person would also join the </w:t>
      </w:r>
      <w:r w:rsidRPr="0003207B">
        <w:rPr>
          <w:rFonts w:cstheme="minorHAnsi"/>
          <w:b/>
          <w:sz w:val="24"/>
          <w:szCs w:val="24"/>
        </w:rPr>
        <w:t>Partnership for Philanthropic Planning (PPP)</w:t>
      </w:r>
      <w:r w:rsidRPr="0003207B">
        <w:rPr>
          <w:rFonts w:cstheme="minorHAnsi"/>
          <w:sz w:val="24"/>
          <w:szCs w:val="24"/>
        </w:rPr>
        <w:t xml:space="preserve"> and the local planned giving council. All members of PPP sign on to the Model Standards as a condition of membership. It is an organization that fosters an atmosphere conducive to planned </w:t>
      </w:r>
      <w:proofErr w:type="gramStart"/>
      <w:r w:rsidRPr="0003207B">
        <w:rPr>
          <w:rFonts w:cstheme="minorHAnsi"/>
          <w:sz w:val="24"/>
          <w:szCs w:val="24"/>
        </w:rPr>
        <w:t>giving</w:t>
      </w:r>
      <w:proofErr w:type="gramEnd"/>
      <w:r w:rsidRPr="0003207B">
        <w:rPr>
          <w:rFonts w:cstheme="minorHAnsi"/>
          <w:sz w:val="24"/>
          <w:szCs w:val="24"/>
        </w:rPr>
        <w:t xml:space="preserve"> and provides continuing education to those who want to learn more about the field.</w:t>
      </w:r>
    </w:p>
    <w:p w:rsidR="00235E38" w:rsidRPr="0003207B" w:rsidRDefault="00235E38" w:rsidP="00235E38">
      <w:pPr>
        <w:spacing w:after="120"/>
        <w:rPr>
          <w:rFonts w:cstheme="minorHAnsi"/>
          <w:sz w:val="24"/>
          <w:szCs w:val="24"/>
        </w:rPr>
      </w:pPr>
      <w:r w:rsidRPr="0003207B">
        <w:rPr>
          <w:rFonts w:cstheme="minorHAnsi"/>
          <w:sz w:val="24"/>
          <w:szCs w:val="24"/>
        </w:rPr>
        <w:t xml:space="preserve">For more information, visit </w:t>
      </w:r>
      <w:hyperlink r:id="rId21" w:history="1">
        <w:r w:rsidRPr="0003207B">
          <w:rPr>
            <w:rStyle w:val="Hyperlink"/>
            <w:rFonts w:cstheme="minorHAnsi"/>
            <w:sz w:val="24"/>
            <w:szCs w:val="24"/>
          </w:rPr>
          <w:t>http://www.pppnet.org/members/membership-criteria.html</w:t>
        </w:r>
      </w:hyperlink>
      <w:r w:rsidRPr="0003207B">
        <w:rPr>
          <w:rFonts w:cstheme="minorHAnsi"/>
          <w:sz w:val="24"/>
          <w:szCs w:val="24"/>
        </w:rPr>
        <w:t>.</w:t>
      </w:r>
    </w:p>
    <w:p w:rsidR="00235E38" w:rsidRPr="0003207B" w:rsidRDefault="00235E38" w:rsidP="00235E38">
      <w:pPr>
        <w:spacing w:after="120"/>
        <w:rPr>
          <w:rFonts w:cstheme="minorHAnsi"/>
          <w:b/>
          <w:sz w:val="24"/>
          <w:szCs w:val="24"/>
        </w:rPr>
      </w:pPr>
    </w:p>
    <w:p w:rsidR="00235E38" w:rsidRPr="0003207B" w:rsidRDefault="00235E38" w:rsidP="00235E38">
      <w:pPr>
        <w:spacing w:after="120"/>
        <w:rPr>
          <w:rFonts w:cstheme="minorHAnsi"/>
          <w:b/>
          <w:sz w:val="24"/>
          <w:szCs w:val="24"/>
        </w:rPr>
      </w:pPr>
      <w:r w:rsidRPr="0003207B">
        <w:rPr>
          <w:rFonts w:cstheme="minorHAnsi"/>
          <w:b/>
          <w:sz w:val="24"/>
          <w:szCs w:val="24"/>
        </w:rPr>
        <w:t>Project 15: Review Compliance with State Regulations</w:t>
      </w:r>
    </w:p>
    <w:p w:rsidR="00235E38" w:rsidRPr="0003207B" w:rsidRDefault="00235E38" w:rsidP="00235E38">
      <w:pPr>
        <w:spacing w:after="120"/>
        <w:rPr>
          <w:rFonts w:cstheme="minorHAnsi"/>
          <w:sz w:val="24"/>
          <w:szCs w:val="24"/>
        </w:rPr>
      </w:pPr>
      <w:r w:rsidRPr="0003207B">
        <w:rPr>
          <w:rFonts w:cstheme="minorHAnsi"/>
          <w:sz w:val="24"/>
          <w:szCs w:val="24"/>
        </w:rPr>
        <w:t xml:space="preserve">It is beyond the scope of Planned </w:t>
      </w:r>
      <w:proofErr w:type="gramStart"/>
      <w:r w:rsidRPr="0003207B">
        <w:rPr>
          <w:rFonts w:cstheme="minorHAnsi"/>
          <w:sz w:val="24"/>
          <w:szCs w:val="24"/>
        </w:rPr>
        <w:t>Giving</w:t>
      </w:r>
      <w:proofErr w:type="gramEnd"/>
      <w:r w:rsidRPr="0003207B">
        <w:rPr>
          <w:rFonts w:cstheme="minorHAnsi"/>
          <w:sz w:val="24"/>
          <w:szCs w:val="24"/>
        </w:rPr>
        <w:t xml:space="preserve"> in a Box to assist you in complying with state regulations. However, </w:t>
      </w:r>
      <w:r w:rsidRPr="0003207B">
        <w:rPr>
          <w:rFonts w:cstheme="minorHAnsi"/>
          <w:b/>
          <w:sz w:val="24"/>
          <w:szCs w:val="24"/>
        </w:rPr>
        <w:t>you should take this opportunity</w:t>
      </w:r>
      <w:r w:rsidRPr="0003207B">
        <w:rPr>
          <w:rFonts w:cstheme="minorHAnsi"/>
          <w:sz w:val="24"/>
          <w:szCs w:val="24"/>
        </w:rPr>
        <w:t xml:space="preserve"> to determine if you do business, solicit, or solicit gift annuities in your state or other states, and if you </w:t>
      </w:r>
      <w:proofErr w:type="gramStart"/>
      <w:r w:rsidRPr="0003207B">
        <w:rPr>
          <w:rFonts w:cstheme="minorHAnsi"/>
          <w:sz w:val="24"/>
          <w:szCs w:val="24"/>
        </w:rPr>
        <w:t>are in compliance with</w:t>
      </w:r>
      <w:proofErr w:type="gramEnd"/>
      <w:r w:rsidRPr="0003207B">
        <w:rPr>
          <w:rFonts w:cstheme="minorHAnsi"/>
          <w:sz w:val="24"/>
          <w:szCs w:val="24"/>
        </w:rPr>
        <w:t xml:space="preserve"> the regulations of those states. If you are </w:t>
      </w:r>
      <w:r w:rsidRPr="0003207B">
        <w:rPr>
          <w:rFonts w:cstheme="minorHAnsi"/>
          <w:i/>
          <w:sz w:val="24"/>
          <w:szCs w:val="24"/>
        </w:rPr>
        <w:t>not</w:t>
      </w:r>
      <w:r w:rsidRPr="0003207B">
        <w:rPr>
          <w:rFonts w:cstheme="minorHAnsi"/>
          <w:sz w:val="24"/>
          <w:szCs w:val="24"/>
        </w:rPr>
        <w:t xml:space="preserve">, it is an issue that should be raised with your staff and Board leadership so that resources can be allocated to bring your charity into compliance. </w:t>
      </w:r>
    </w:p>
    <w:p w:rsidR="00235E38" w:rsidRPr="0003207B" w:rsidRDefault="00235E38" w:rsidP="00235E38">
      <w:pPr>
        <w:spacing w:after="120"/>
        <w:rPr>
          <w:rFonts w:cstheme="minorHAnsi"/>
          <w:sz w:val="24"/>
          <w:szCs w:val="24"/>
        </w:rPr>
      </w:pPr>
      <w:r w:rsidRPr="0003207B">
        <w:rPr>
          <w:rFonts w:cstheme="minorHAnsi"/>
          <w:sz w:val="24"/>
          <w:szCs w:val="24"/>
        </w:rPr>
        <w:t>As your planned giving program starts to produce results, you do not want to put those gifts in jeopardy due to a failure to comply with state regulations.</w:t>
      </w:r>
    </w:p>
    <w:p w:rsidR="00C312A5" w:rsidRPr="00396A76" w:rsidRDefault="00C312A5" w:rsidP="00235E38">
      <w:pPr>
        <w:spacing w:after="120"/>
        <w:rPr>
          <w:rFonts w:ascii="Calibri Light" w:hAnsi="Calibri Light" w:cs="Calibri Light"/>
        </w:rPr>
      </w:pPr>
    </w:p>
    <w:p w:rsidR="00430CEF" w:rsidRDefault="00430CEF" w:rsidP="00430CEF">
      <w:pPr>
        <w:spacing w:after="0"/>
        <w:ind w:right="153"/>
        <w:jc w:val="center"/>
      </w:pPr>
    </w:p>
    <w:p w:rsidR="004943B5" w:rsidRDefault="004943B5" w:rsidP="00430CEF">
      <w:pPr>
        <w:spacing w:after="0"/>
        <w:ind w:left="2379"/>
        <w:rPr>
          <w:b/>
        </w:rPr>
      </w:pPr>
    </w:p>
    <w:p w:rsidR="004943B5" w:rsidRDefault="004943B5" w:rsidP="00430CEF">
      <w:pPr>
        <w:spacing w:after="0"/>
        <w:ind w:left="2379"/>
        <w:rPr>
          <w:b/>
        </w:rPr>
      </w:pPr>
    </w:p>
    <w:p w:rsidR="004943B5" w:rsidRDefault="004943B5" w:rsidP="00430CEF">
      <w:pPr>
        <w:spacing w:after="0"/>
        <w:ind w:left="2379"/>
        <w:rPr>
          <w:b/>
        </w:rPr>
      </w:pPr>
    </w:p>
    <w:p w:rsidR="004943B5" w:rsidRDefault="004943B5" w:rsidP="00430CEF">
      <w:pPr>
        <w:spacing w:after="0"/>
        <w:ind w:left="2379"/>
        <w:rPr>
          <w:b/>
        </w:rPr>
      </w:pPr>
    </w:p>
    <w:p w:rsidR="004943B5" w:rsidRDefault="004943B5" w:rsidP="00430CEF">
      <w:pPr>
        <w:spacing w:after="0"/>
        <w:ind w:left="2379"/>
        <w:rPr>
          <w:b/>
        </w:rPr>
      </w:pPr>
    </w:p>
    <w:p w:rsidR="004943B5" w:rsidRDefault="004943B5" w:rsidP="00430CEF">
      <w:pPr>
        <w:spacing w:after="0"/>
        <w:ind w:left="2379"/>
        <w:rPr>
          <w:b/>
        </w:rPr>
      </w:pPr>
    </w:p>
    <w:p w:rsidR="004943B5" w:rsidRDefault="004943B5" w:rsidP="00430CEF">
      <w:pPr>
        <w:spacing w:after="0"/>
        <w:ind w:left="2379"/>
        <w:rPr>
          <w:b/>
        </w:rPr>
      </w:pPr>
    </w:p>
    <w:p w:rsidR="004943B5" w:rsidRDefault="004943B5" w:rsidP="00430CEF">
      <w:pPr>
        <w:spacing w:after="0"/>
        <w:ind w:left="2379"/>
        <w:rPr>
          <w:b/>
        </w:rPr>
      </w:pPr>
    </w:p>
    <w:p w:rsidR="004943B5" w:rsidRDefault="004943B5" w:rsidP="00430CEF">
      <w:pPr>
        <w:spacing w:after="0"/>
        <w:ind w:left="2379"/>
        <w:rPr>
          <w:b/>
        </w:rPr>
      </w:pPr>
    </w:p>
    <w:p w:rsidR="004943B5" w:rsidRDefault="004943B5" w:rsidP="00430CEF">
      <w:pPr>
        <w:spacing w:after="0"/>
        <w:ind w:left="2379"/>
        <w:rPr>
          <w:b/>
        </w:rPr>
      </w:pPr>
    </w:p>
    <w:p w:rsidR="004943B5" w:rsidRDefault="004943B5" w:rsidP="00430CEF">
      <w:pPr>
        <w:spacing w:after="0"/>
        <w:ind w:left="2379"/>
        <w:rPr>
          <w:b/>
        </w:rPr>
      </w:pPr>
    </w:p>
    <w:p w:rsidR="004943B5" w:rsidRDefault="004943B5" w:rsidP="00430CEF">
      <w:pPr>
        <w:spacing w:after="0"/>
        <w:ind w:left="2379"/>
        <w:rPr>
          <w:b/>
        </w:rPr>
      </w:pPr>
    </w:p>
    <w:p w:rsidR="004943B5" w:rsidRDefault="004943B5" w:rsidP="00430CEF">
      <w:pPr>
        <w:spacing w:after="0"/>
        <w:ind w:left="2379"/>
        <w:rPr>
          <w:b/>
        </w:rPr>
      </w:pPr>
    </w:p>
    <w:p w:rsidR="004943B5" w:rsidRDefault="004943B5" w:rsidP="00430CEF">
      <w:pPr>
        <w:spacing w:after="0"/>
        <w:ind w:left="2379"/>
        <w:rPr>
          <w:b/>
        </w:rPr>
      </w:pPr>
    </w:p>
    <w:p w:rsidR="004943B5" w:rsidRPr="0003207B" w:rsidRDefault="0003207B" w:rsidP="0003207B">
      <w:pPr>
        <w:spacing w:after="0"/>
        <w:jc w:val="both"/>
        <w:rPr>
          <w:rFonts w:asciiTheme="majorHAnsi" w:hAnsiTheme="majorHAnsi" w:cstheme="majorHAnsi"/>
          <w:sz w:val="36"/>
          <w:szCs w:val="36"/>
        </w:rPr>
      </w:pPr>
      <w:r w:rsidRPr="0003207B">
        <w:rPr>
          <w:rFonts w:asciiTheme="majorHAnsi" w:hAnsiTheme="majorHAnsi" w:cstheme="majorHAnsi"/>
          <w:sz w:val="36"/>
          <w:szCs w:val="36"/>
        </w:rPr>
        <w:lastRenderedPageBreak/>
        <w:t>DOCUMENT PGB2-0901</w:t>
      </w:r>
    </w:p>
    <w:p w:rsidR="004943B5" w:rsidRPr="0003207B" w:rsidRDefault="0003207B" w:rsidP="0003207B">
      <w:pPr>
        <w:spacing w:after="0"/>
        <w:jc w:val="both"/>
        <w:rPr>
          <w:rFonts w:asciiTheme="majorHAnsi" w:hAnsiTheme="majorHAnsi" w:cstheme="majorHAnsi"/>
          <w:sz w:val="28"/>
          <w:szCs w:val="36"/>
        </w:rPr>
      </w:pPr>
      <w:r w:rsidRPr="0003207B">
        <w:rPr>
          <w:rFonts w:asciiTheme="majorHAnsi" w:hAnsiTheme="majorHAnsi" w:cstheme="majorHAnsi"/>
          <w:sz w:val="28"/>
          <w:szCs w:val="36"/>
        </w:rPr>
        <w:t>Current Model Standards of Practice</w:t>
      </w:r>
    </w:p>
    <w:p w:rsidR="0003207B" w:rsidRDefault="0003207B" w:rsidP="00430CEF">
      <w:pPr>
        <w:spacing w:after="0"/>
        <w:ind w:left="2379"/>
        <w:rPr>
          <w:b/>
        </w:rPr>
      </w:pPr>
    </w:p>
    <w:p w:rsidR="00184FCC" w:rsidRPr="000D6C81" w:rsidRDefault="00430CEF" w:rsidP="000D6C81">
      <w:pPr>
        <w:spacing w:after="0"/>
        <w:jc w:val="center"/>
        <w:rPr>
          <w:b/>
          <w:sz w:val="28"/>
          <w:szCs w:val="28"/>
        </w:rPr>
      </w:pPr>
      <w:r w:rsidRPr="000D6C81">
        <w:rPr>
          <w:b/>
          <w:sz w:val="28"/>
          <w:szCs w:val="28"/>
        </w:rPr>
        <w:t>Model Standards of Practice for the Charitable Gift Planner</w:t>
      </w:r>
    </w:p>
    <w:p w:rsidR="00430CEF" w:rsidRPr="000D6C81" w:rsidRDefault="00430CEF" w:rsidP="00184FCC">
      <w:pPr>
        <w:rPr>
          <w:b/>
          <w:sz w:val="24"/>
          <w:szCs w:val="24"/>
        </w:rPr>
      </w:pPr>
      <w:r w:rsidRPr="000D6C81">
        <w:rPr>
          <w:b/>
          <w:sz w:val="24"/>
          <w:szCs w:val="24"/>
        </w:rPr>
        <w:t xml:space="preserve">Preamble </w:t>
      </w:r>
    </w:p>
    <w:p w:rsidR="00430CEF" w:rsidRDefault="00430CEF" w:rsidP="00184FCC">
      <w:r>
        <w:t xml:space="preserve">The purpose of this statement is to encourage responsible gift planning by urging the adoption of the following Standards of Practice by all individuals who work in the charitable gift planning process, gift planning officers, fund raising consultants, attorneys, accountants, financial planners, life insurance agents and other financial services professionals (collectively referred to hereafter as “Gift Planners”), and by the institutions that these persons represent. </w:t>
      </w:r>
    </w:p>
    <w:p w:rsidR="00430CEF" w:rsidRDefault="00430CEF" w:rsidP="00184FCC">
      <w:r>
        <w:t xml:space="preserve">This statement recognizes that the solicitation, planning and administration of a charitable gift is a complex process involving philanthropic, personal, financial, and tax considerations, and often involves professionals from various disciplines whose goals should include working together to structure a gift that achieves a fair and proper balance between the interests of the donor and the purposes of the charitable institution. </w:t>
      </w:r>
    </w:p>
    <w:p w:rsidR="00430CEF" w:rsidRPr="000D6C81" w:rsidRDefault="00430CEF" w:rsidP="00184FCC">
      <w:pPr>
        <w:rPr>
          <w:b/>
          <w:sz w:val="24"/>
          <w:szCs w:val="24"/>
        </w:rPr>
      </w:pPr>
      <w:r w:rsidRPr="000D6C81">
        <w:rPr>
          <w:b/>
          <w:sz w:val="24"/>
          <w:szCs w:val="24"/>
        </w:rPr>
        <w:t xml:space="preserve">I. Primacy of Philanthropic Motivation </w:t>
      </w:r>
    </w:p>
    <w:p w:rsidR="00430CEF" w:rsidRDefault="00430CEF" w:rsidP="00184FCC">
      <w:r>
        <w:t xml:space="preserve">The principal basis for making a charitable gift should be a desire on the part of the donor to support the work of charitable institutions. </w:t>
      </w:r>
    </w:p>
    <w:p w:rsidR="00430CEF" w:rsidRPr="000D6C81" w:rsidRDefault="00430CEF" w:rsidP="00184FCC">
      <w:pPr>
        <w:rPr>
          <w:b/>
          <w:sz w:val="24"/>
          <w:szCs w:val="24"/>
        </w:rPr>
      </w:pPr>
      <w:r w:rsidRPr="000D6C81">
        <w:rPr>
          <w:b/>
          <w:sz w:val="24"/>
          <w:szCs w:val="24"/>
        </w:rPr>
        <w:t xml:space="preserve">II. Explanation of Tax Implications </w:t>
      </w:r>
    </w:p>
    <w:p w:rsidR="00430CEF" w:rsidRDefault="00430CEF" w:rsidP="00184FCC">
      <w:r>
        <w:t xml:space="preserve">Congress has provided tax incentives for charitable giving, and the emphasis in this statement on philanthropic motivation in no way minimizes the necessity and appropriateness of a full and accurate explanation by the Gift Planner of those incentives and their implications. </w:t>
      </w:r>
    </w:p>
    <w:p w:rsidR="00430CEF" w:rsidRPr="000D6C81" w:rsidRDefault="00430CEF" w:rsidP="00184FCC">
      <w:pPr>
        <w:rPr>
          <w:b/>
          <w:sz w:val="24"/>
          <w:szCs w:val="24"/>
        </w:rPr>
      </w:pPr>
      <w:r w:rsidRPr="000D6C81">
        <w:rPr>
          <w:b/>
          <w:sz w:val="24"/>
          <w:szCs w:val="24"/>
        </w:rPr>
        <w:t xml:space="preserve">III. Full Disclosure </w:t>
      </w:r>
    </w:p>
    <w:p w:rsidR="00430CEF" w:rsidRDefault="00430CEF" w:rsidP="00184FCC">
      <w:r>
        <w:t xml:space="preserve">It is essential to the gift planning process that the role and relationships of all parties involved, including how and by whom each is compensated, be fully disclosed to the donor. A Gift Planner shall not act or purport to act as a representative of any charity without the express knowledge and approval of the charity, and shall not, while employed by the charity, act or purport to act as a representative of the donor, without the express consent of both the charity and the donor. </w:t>
      </w:r>
    </w:p>
    <w:p w:rsidR="00430CEF" w:rsidRPr="000D6C81" w:rsidRDefault="00430CEF" w:rsidP="00184FCC">
      <w:pPr>
        <w:rPr>
          <w:b/>
          <w:sz w:val="24"/>
          <w:szCs w:val="24"/>
        </w:rPr>
      </w:pPr>
      <w:r w:rsidRPr="000D6C81">
        <w:rPr>
          <w:b/>
          <w:sz w:val="24"/>
          <w:szCs w:val="24"/>
        </w:rPr>
        <w:t xml:space="preserve">IV. Compensation </w:t>
      </w:r>
    </w:p>
    <w:p w:rsidR="00430CEF" w:rsidRDefault="00430CEF" w:rsidP="00184FCC">
      <w:r>
        <w:t xml:space="preserve">Compensation paid to Gift Planners shall be reasonable and proportionate to the services provided. Payment of finder’s fees, commissions or other fees by a done organization to an independent Gift Planner as a condition for the delivery of a gift is never appropriate. Such payments lead to abusive practices and may violate certain state and federal regulations. Likewise, commission-based compensation for Gift Planners who are employed by a charitable institution is never appropriate. </w:t>
      </w:r>
    </w:p>
    <w:p w:rsidR="00430CEF" w:rsidRPr="000D6C81" w:rsidRDefault="00430CEF" w:rsidP="00184FCC">
      <w:pPr>
        <w:rPr>
          <w:b/>
          <w:sz w:val="24"/>
          <w:szCs w:val="24"/>
        </w:rPr>
      </w:pPr>
      <w:r w:rsidRPr="000D6C81">
        <w:rPr>
          <w:b/>
          <w:sz w:val="24"/>
          <w:szCs w:val="24"/>
        </w:rPr>
        <w:lastRenderedPageBreak/>
        <w:t xml:space="preserve">V. Competence and Professionalism </w:t>
      </w:r>
    </w:p>
    <w:p w:rsidR="00430CEF" w:rsidRDefault="00430CEF" w:rsidP="00184FCC">
      <w:r>
        <w:t xml:space="preserve">The Gift Planner should strive to achieve and maintain a high degree of competence in his or her chosen </w:t>
      </w:r>
      <w:proofErr w:type="gramStart"/>
      <w:r>
        <w:t>area, and</w:t>
      </w:r>
      <w:proofErr w:type="gramEnd"/>
      <w:r>
        <w:t xml:space="preserve"> shall advise donors only in areas in which he or she is professionally qualified. It is a hallmark of professionalism for Gift Planners that they realize when they have reached the limits of their knowledge and expertise, and as a result, should include other professionals in the process. Such relationships should be characterized by courtesy, tact and mutual respect. </w:t>
      </w:r>
    </w:p>
    <w:p w:rsidR="00430CEF" w:rsidRPr="000D6C81" w:rsidRDefault="00430CEF" w:rsidP="00184FCC">
      <w:pPr>
        <w:rPr>
          <w:b/>
          <w:sz w:val="24"/>
          <w:szCs w:val="24"/>
        </w:rPr>
      </w:pPr>
      <w:r w:rsidRPr="000D6C81">
        <w:rPr>
          <w:b/>
          <w:sz w:val="24"/>
          <w:szCs w:val="24"/>
        </w:rPr>
        <w:t xml:space="preserve">VI. Consultation with Independent Advisers </w:t>
      </w:r>
    </w:p>
    <w:p w:rsidR="00430CEF" w:rsidRDefault="00430CEF" w:rsidP="00184FCC">
      <w:r>
        <w:t xml:space="preserve">A Gift Planner acting on behalf of a charity shall in all cases strongly encourage the donor to discuss the proposed gift with competent independent legal and tax advisers of the donor’s choice. </w:t>
      </w:r>
    </w:p>
    <w:p w:rsidR="00430CEF" w:rsidRPr="000D6C81" w:rsidRDefault="00430CEF" w:rsidP="00184FCC">
      <w:pPr>
        <w:rPr>
          <w:b/>
          <w:sz w:val="24"/>
          <w:szCs w:val="24"/>
        </w:rPr>
      </w:pPr>
      <w:r w:rsidRPr="000D6C81">
        <w:rPr>
          <w:b/>
          <w:sz w:val="24"/>
          <w:szCs w:val="24"/>
        </w:rPr>
        <w:t xml:space="preserve">VII. Consultation with Charities </w:t>
      </w:r>
    </w:p>
    <w:p w:rsidR="00430CEF" w:rsidRDefault="00430CEF" w:rsidP="00184FCC">
      <w:r>
        <w:t xml:space="preserve">Although Gift Planners frequently and properly counsel donors concerning specific charitable gifts without the prior knowledge or approval of the </w:t>
      </w:r>
      <w:proofErr w:type="spellStart"/>
      <w:r>
        <w:t>donee</w:t>
      </w:r>
      <w:proofErr w:type="spellEnd"/>
      <w:r>
        <w:t xml:space="preserve"> organization, the Gift Planner, in order </w:t>
      </w:r>
      <w:proofErr w:type="gramStart"/>
      <w:r>
        <w:t>to insure that</w:t>
      </w:r>
      <w:proofErr w:type="gramEnd"/>
      <w:r>
        <w:t xml:space="preserve"> the gift will accomplish the donor’s objectives, should encourage the donor early in the gift planning process, to discuss the proposed gift with the charity to whom the gift is to be made. In cases where the donor desires anonymity, the Gift Planner shall endeavor, on behalf of the undisclosed donor, to obtain the charity’s input in the gift planning process. </w:t>
      </w:r>
    </w:p>
    <w:p w:rsidR="00184FCC" w:rsidRPr="000D6C81" w:rsidRDefault="00430CEF" w:rsidP="00184FCC">
      <w:pPr>
        <w:rPr>
          <w:b/>
          <w:sz w:val="24"/>
          <w:szCs w:val="24"/>
        </w:rPr>
      </w:pPr>
      <w:r w:rsidRPr="000D6C81">
        <w:rPr>
          <w:b/>
          <w:sz w:val="24"/>
          <w:szCs w:val="24"/>
        </w:rPr>
        <w:t xml:space="preserve">VIII. Description and Representation of Gift </w:t>
      </w:r>
    </w:p>
    <w:p w:rsidR="00430CEF" w:rsidRDefault="00430CEF" w:rsidP="00184FCC">
      <w:r>
        <w:t xml:space="preserve">The Gift Planner shall make every effort to assure that the donor receives a full description and an accurate representation of all aspects of any proposed charitable gift plan. The consequences for the charity, the donor and, where applicable, the donor’s family, should be apparent, and the assumptions underlying any financial illustrations should be realistic. </w:t>
      </w:r>
    </w:p>
    <w:p w:rsidR="00430CEF" w:rsidRPr="000D6C81" w:rsidRDefault="00430CEF" w:rsidP="00184FCC">
      <w:pPr>
        <w:rPr>
          <w:b/>
          <w:sz w:val="24"/>
          <w:szCs w:val="24"/>
        </w:rPr>
      </w:pPr>
      <w:r w:rsidRPr="000D6C81">
        <w:rPr>
          <w:b/>
          <w:sz w:val="24"/>
          <w:szCs w:val="24"/>
        </w:rPr>
        <w:t xml:space="preserve">IX. Full Compliance </w:t>
      </w:r>
    </w:p>
    <w:p w:rsidR="00430CEF" w:rsidRDefault="00430CEF" w:rsidP="00184FCC">
      <w:r>
        <w:t xml:space="preserve">A Gift Planner shall fully comply with and shall encourage other parties in the gift planning process to fully comply with both the letter and spirit of all applicable federal and state laws and regulations. </w:t>
      </w:r>
    </w:p>
    <w:p w:rsidR="00430CEF" w:rsidRPr="000D6C81" w:rsidRDefault="00430CEF" w:rsidP="00184FCC">
      <w:pPr>
        <w:rPr>
          <w:b/>
          <w:sz w:val="24"/>
          <w:szCs w:val="24"/>
        </w:rPr>
      </w:pPr>
      <w:r w:rsidRPr="000D6C81">
        <w:rPr>
          <w:b/>
          <w:sz w:val="24"/>
          <w:szCs w:val="24"/>
        </w:rPr>
        <w:t xml:space="preserve">X. Public Trust </w:t>
      </w:r>
    </w:p>
    <w:p w:rsidR="00430CEF" w:rsidRDefault="00430CEF" w:rsidP="00184FCC">
      <w:r>
        <w:t>Gift Planners shall, in all dealings with donors, institutions and other professionals, act with fairness, honesty, integrity and openness. Except for compensati</w:t>
      </w:r>
      <w:bookmarkStart w:id="0" w:name="_GoBack"/>
      <w:bookmarkEnd w:id="0"/>
      <w:r>
        <w:t xml:space="preserve">on received for services, the terms of which have been disclosed to the donor, they shall have no vested interest that could result in personal gain. </w:t>
      </w:r>
    </w:p>
    <w:p w:rsidR="00184FCC" w:rsidRDefault="00184FCC" w:rsidP="00184FCC">
      <w:pPr>
        <w:rPr>
          <w:i/>
        </w:rPr>
      </w:pPr>
    </w:p>
    <w:p w:rsidR="00235E38" w:rsidRPr="00184FCC" w:rsidRDefault="00430CEF" w:rsidP="00184FCC">
      <w:r>
        <w:rPr>
          <w:i/>
        </w:rPr>
        <w:t>Adopted and subscribed to by the National Committee on Planned Giving (now the Partnership for Philanthropic Planning) and the American Council on Gift Annuities, May 7, 1991. Revised April 1999. Reprinted with permission.</w:t>
      </w:r>
      <w:r>
        <w:t xml:space="preserve"> </w:t>
      </w:r>
    </w:p>
    <w:sectPr w:rsidR="00235E38" w:rsidRPr="00184FCC" w:rsidSect="003345FF">
      <w:headerReference w:type="default" r:id="rId22"/>
      <w:footerReference w:type="default" r:id="rId23"/>
      <w:headerReference w:type="first" r:id="rId24"/>
      <w:pgSz w:w="12240" w:h="15840"/>
      <w:pgMar w:top="2160" w:right="1440" w:bottom="1440" w:left="1440" w:header="720" w:footer="43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4280" w:rsidRDefault="002F4280" w:rsidP="002F6CBB">
      <w:pPr>
        <w:spacing w:after="0" w:line="240" w:lineRule="auto"/>
      </w:pPr>
      <w:r>
        <w:separator/>
      </w:r>
    </w:p>
  </w:endnote>
  <w:endnote w:type="continuationSeparator" w:id="0">
    <w:p w:rsidR="002F4280" w:rsidRDefault="002F4280" w:rsidP="002F6C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kzidenzGroteskBE-BoldCn">
    <w:altName w:val="Calibri"/>
    <w:panose1 w:val="00000000000000000000"/>
    <w:charset w:val="4D"/>
    <w:family w:val="auto"/>
    <w:notTrueType/>
    <w:pitch w:val="default"/>
    <w:sig w:usb0="00000003" w:usb1="00000000" w:usb2="00000000" w:usb3="00000000" w:csb0="00000001" w:csb1="00000000"/>
  </w:font>
  <w:font w:name="ArnoPro-LightDisplay">
    <w:altName w:val="Calibri"/>
    <w:panose1 w:val="00000000000000000000"/>
    <w:charset w:val="4D"/>
    <w:family w:val="auto"/>
    <w:notTrueType/>
    <w:pitch w:val="default"/>
    <w:sig w:usb0="00000003" w:usb1="00000000" w:usb2="00000000" w:usb3="00000000" w:csb0="00000001" w:csb1="00000000"/>
  </w:font>
  <w:font w:name="ArnoPro-LightItalicDisplay">
    <w:altName w:val="Calibri"/>
    <w:panose1 w:val="00000000000000000000"/>
    <w:charset w:val="4D"/>
    <w:family w:val="auto"/>
    <w:notTrueType/>
    <w:pitch w:val="default"/>
    <w:sig w:usb0="00000003" w:usb1="00000000" w:usb2="00000000" w:usb3="00000000" w:csb0="00000001" w:csb1="00000000"/>
  </w:font>
  <w:font w:name="ArnoPro-Smbd">
    <w:altName w:val="Calibri"/>
    <w:panose1 w:val="00000000000000000000"/>
    <w:charset w:val="4D"/>
    <w:family w:val="auto"/>
    <w:notTrueType/>
    <w:pitch w:val="default"/>
    <w:sig w:usb0="00000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6CBB" w:rsidRDefault="002F6CBB" w:rsidP="003345FF">
    <w:pPr>
      <w:pStyle w:val="Footer"/>
      <w:rPr>
        <w:sz w:val="20"/>
        <w:szCs w:val="20"/>
      </w:rPr>
    </w:pPr>
    <w:r w:rsidRPr="00C95806">
      <w:rPr>
        <w:sz w:val="20"/>
        <w:szCs w:val="20"/>
      </w:rPr>
      <w:t xml:space="preserve">1288 Valley Forge Road, Unit 82, Phoenixville, PA  19460    </w:t>
    </w:r>
    <w:r w:rsidRPr="00C95806">
      <w:rPr>
        <w:sz w:val="20"/>
        <w:szCs w:val="20"/>
      </w:rPr>
      <w:sym w:font="Wingdings" w:char="F028"/>
    </w:r>
    <w:r w:rsidRPr="00C95806">
      <w:rPr>
        <w:sz w:val="20"/>
        <w:szCs w:val="20"/>
      </w:rPr>
      <w:t xml:space="preserve"> 800-490-7090    </w:t>
    </w:r>
    <w:r w:rsidRPr="00C95806">
      <w:rPr>
        <w:sz w:val="20"/>
        <w:szCs w:val="20"/>
      </w:rPr>
      <w:sym w:font="Wingdings" w:char="F02A"/>
    </w:r>
    <w:r w:rsidRPr="00C95806">
      <w:rPr>
        <w:sz w:val="20"/>
        <w:szCs w:val="20"/>
      </w:rPr>
      <w:t xml:space="preserve">    </w:t>
    </w:r>
    <w:hyperlink r:id="rId1" w:history="1">
      <w:r w:rsidR="00C95806" w:rsidRPr="00410A47">
        <w:rPr>
          <w:rStyle w:val="Hyperlink"/>
          <w:sz w:val="20"/>
          <w:szCs w:val="20"/>
        </w:rPr>
        <w:t>Success@PlannedGiving.Com</w:t>
      </w:r>
    </w:hyperlink>
  </w:p>
  <w:p w:rsidR="00C95806" w:rsidRPr="00C95806" w:rsidRDefault="00C95806" w:rsidP="003345FF">
    <w:pPr>
      <w:pStyle w:val="bodytextintro"/>
      <w:spacing w:before="80" w:after="0" w:line="240" w:lineRule="auto"/>
      <w:ind w:left="0"/>
      <w:rPr>
        <w:rFonts w:asciiTheme="minorHAnsi" w:hAnsiTheme="minorHAnsi"/>
        <w:sz w:val="14"/>
        <w:szCs w:val="14"/>
      </w:rPr>
    </w:pPr>
    <w:r w:rsidRPr="00C95806">
      <w:rPr>
        <w:sz w:val="14"/>
        <w:szCs w:val="14"/>
      </w:rPr>
      <w:t xml:space="preserve">Copyright 2018 © PlannedGiving.Com, Inc. All Rights Reserved. </w:t>
    </w:r>
    <w:r w:rsidRPr="00C95806">
      <w:rPr>
        <w:rFonts w:asciiTheme="minorHAnsi" w:hAnsiTheme="minorHAnsi"/>
        <w:sz w:val="14"/>
        <w:szCs w:val="14"/>
      </w:rPr>
      <w:t>Contents licensed only to the nonprofit who purchased it.</w:t>
    </w:r>
  </w:p>
  <w:p w:rsidR="00C95806" w:rsidRPr="00C95806" w:rsidRDefault="00C95806">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4280" w:rsidRDefault="002F4280" w:rsidP="002F6CBB">
      <w:pPr>
        <w:spacing w:after="0" w:line="240" w:lineRule="auto"/>
      </w:pPr>
      <w:r>
        <w:separator/>
      </w:r>
    </w:p>
  </w:footnote>
  <w:footnote w:type="continuationSeparator" w:id="0">
    <w:p w:rsidR="002F4280" w:rsidRDefault="002F4280" w:rsidP="002F6C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79F" w:rsidRDefault="0059679F">
    <w:pPr>
      <w:pStyle w:val="Header"/>
    </w:pPr>
    <w:r>
      <w:rPr>
        <w:noProof/>
      </w:rPr>
      <w:drawing>
        <wp:inline distT="0" distB="0" distL="0" distR="0" wp14:anchorId="22B1A56B" wp14:editId="1423ABED">
          <wp:extent cx="1735807" cy="5588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7189" cy="5656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7213" w:rsidRDefault="00587213" w:rsidP="00587213">
    <w:pPr>
      <w:pStyle w:val="Header"/>
      <w:jc w:val="center"/>
    </w:pPr>
    <w:r>
      <w:rPr>
        <w:noProof/>
      </w:rPr>
      <w:drawing>
        <wp:inline distT="0" distB="0" distL="0" distR="0" wp14:anchorId="37876376" wp14:editId="5FFF80D4">
          <wp:extent cx="1735807" cy="5588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7189" cy="56568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E77655"/>
    <w:multiLevelType w:val="hybridMultilevel"/>
    <w:tmpl w:val="336E7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D90443"/>
    <w:multiLevelType w:val="hybridMultilevel"/>
    <w:tmpl w:val="6B10E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1C13EB"/>
    <w:multiLevelType w:val="hybridMultilevel"/>
    <w:tmpl w:val="CA5A9E12"/>
    <w:lvl w:ilvl="0" w:tplc="B08C5668">
      <w:start w:val="1"/>
      <w:numFmt w:val="bullet"/>
      <w:lvlText w:val="•"/>
      <w:lvlJc w:val="left"/>
      <w:pPr>
        <w:tabs>
          <w:tab w:val="num" w:pos="720"/>
        </w:tabs>
        <w:ind w:left="720" w:hanging="360"/>
      </w:pPr>
      <w:rPr>
        <w:rFonts w:ascii="Arial" w:hAnsi="Arial" w:hint="default"/>
      </w:rPr>
    </w:lvl>
    <w:lvl w:ilvl="1" w:tplc="38DA615C" w:tentative="1">
      <w:start w:val="1"/>
      <w:numFmt w:val="bullet"/>
      <w:lvlText w:val="•"/>
      <w:lvlJc w:val="left"/>
      <w:pPr>
        <w:tabs>
          <w:tab w:val="num" w:pos="1440"/>
        </w:tabs>
        <w:ind w:left="1440" w:hanging="360"/>
      </w:pPr>
      <w:rPr>
        <w:rFonts w:ascii="Arial" w:hAnsi="Arial" w:hint="default"/>
      </w:rPr>
    </w:lvl>
    <w:lvl w:ilvl="2" w:tplc="94F4D51E">
      <w:start w:val="1"/>
      <w:numFmt w:val="bullet"/>
      <w:lvlText w:val="•"/>
      <w:lvlJc w:val="left"/>
      <w:pPr>
        <w:tabs>
          <w:tab w:val="num" w:pos="2160"/>
        </w:tabs>
        <w:ind w:left="2160" w:hanging="360"/>
      </w:pPr>
      <w:rPr>
        <w:rFonts w:ascii="Arial" w:hAnsi="Arial" w:hint="default"/>
      </w:rPr>
    </w:lvl>
    <w:lvl w:ilvl="3" w:tplc="77B6FF46" w:tentative="1">
      <w:start w:val="1"/>
      <w:numFmt w:val="bullet"/>
      <w:lvlText w:val="•"/>
      <w:lvlJc w:val="left"/>
      <w:pPr>
        <w:tabs>
          <w:tab w:val="num" w:pos="2880"/>
        </w:tabs>
        <w:ind w:left="2880" w:hanging="360"/>
      </w:pPr>
      <w:rPr>
        <w:rFonts w:ascii="Arial" w:hAnsi="Arial" w:hint="default"/>
      </w:rPr>
    </w:lvl>
    <w:lvl w:ilvl="4" w:tplc="D0C4AC30" w:tentative="1">
      <w:start w:val="1"/>
      <w:numFmt w:val="bullet"/>
      <w:lvlText w:val="•"/>
      <w:lvlJc w:val="left"/>
      <w:pPr>
        <w:tabs>
          <w:tab w:val="num" w:pos="3600"/>
        </w:tabs>
        <w:ind w:left="3600" w:hanging="360"/>
      </w:pPr>
      <w:rPr>
        <w:rFonts w:ascii="Arial" w:hAnsi="Arial" w:hint="default"/>
      </w:rPr>
    </w:lvl>
    <w:lvl w:ilvl="5" w:tplc="329E5C1E" w:tentative="1">
      <w:start w:val="1"/>
      <w:numFmt w:val="bullet"/>
      <w:lvlText w:val="•"/>
      <w:lvlJc w:val="left"/>
      <w:pPr>
        <w:tabs>
          <w:tab w:val="num" w:pos="4320"/>
        </w:tabs>
        <w:ind w:left="4320" w:hanging="360"/>
      </w:pPr>
      <w:rPr>
        <w:rFonts w:ascii="Arial" w:hAnsi="Arial" w:hint="default"/>
      </w:rPr>
    </w:lvl>
    <w:lvl w:ilvl="6" w:tplc="431E2B08" w:tentative="1">
      <w:start w:val="1"/>
      <w:numFmt w:val="bullet"/>
      <w:lvlText w:val="•"/>
      <w:lvlJc w:val="left"/>
      <w:pPr>
        <w:tabs>
          <w:tab w:val="num" w:pos="5040"/>
        </w:tabs>
        <w:ind w:left="5040" w:hanging="360"/>
      </w:pPr>
      <w:rPr>
        <w:rFonts w:ascii="Arial" w:hAnsi="Arial" w:hint="default"/>
      </w:rPr>
    </w:lvl>
    <w:lvl w:ilvl="7" w:tplc="244246EE" w:tentative="1">
      <w:start w:val="1"/>
      <w:numFmt w:val="bullet"/>
      <w:lvlText w:val="•"/>
      <w:lvlJc w:val="left"/>
      <w:pPr>
        <w:tabs>
          <w:tab w:val="num" w:pos="5760"/>
        </w:tabs>
        <w:ind w:left="5760" w:hanging="360"/>
      </w:pPr>
      <w:rPr>
        <w:rFonts w:ascii="Arial" w:hAnsi="Arial" w:hint="default"/>
      </w:rPr>
    </w:lvl>
    <w:lvl w:ilvl="8" w:tplc="735C1E4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D4C1BCC"/>
    <w:multiLevelType w:val="hybridMultilevel"/>
    <w:tmpl w:val="2EC6ABBE"/>
    <w:lvl w:ilvl="0" w:tplc="FBE047B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B70EB7"/>
    <w:multiLevelType w:val="hybridMultilevel"/>
    <w:tmpl w:val="49FEF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D625CA"/>
    <w:multiLevelType w:val="hybridMultilevel"/>
    <w:tmpl w:val="CE4CE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731E7A"/>
    <w:multiLevelType w:val="hybridMultilevel"/>
    <w:tmpl w:val="CF94D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9C4265"/>
    <w:multiLevelType w:val="hybridMultilevel"/>
    <w:tmpl w:val="C2269E4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8" w15:restartNumberingAfterBreak="0">
    <w:nsid w:val="32535481"/>
    <w:multiLevelType w:val="hybridMultilevel"/>
    <w:tmpl w:val="5B3678DA"/>
    <w:lvl w:ilvl="0" w:tplc="CFFEBAD8">
      <w:start w:val="1"/>
      <w:numFmt w:val="bullet"/>
      <w:lvlText w:val="•"/>
      <w:lvlJc w:val="left"/>
      <w:pPr>
        <w:tabs>
          <w:tab w:val="num" w:pos="720"/>
        </w:tabs>
        <w:ind w:left="720" w:hanging="360"/>
      </w:pPr>
      <w:rPr>
        <w:rFonts w:ascii="Arial" w:hAnsi="Arial" w:hint="default"/>
      </w:rPr>
    </w:lvl>
    <w:lvl w:ilvl="1" w:tplc="6B3C3786" w:tentative="1">
      <w:start w:val="1"/>
      <w:numFmt w:val="bullet"/>
      <w:lvlText w:val="•"/>
      <w:lvlJc w:val="left"/>
      <w:pPr>
        <w:tabs>
          <w:tab w:val="num" w:pos="1440"/>
        </w:tabs>
        <w:ind w:left="1440" w:hanging="360"/>
      </w:pPr>
      <w:rPr>
        <w:rFonts w:ascii="Arial" w:hAnsi="Arial" w:hint="default"/>
      </w:rPr>
    </w:lvl>
    <w:lvl w:ilvl="2" w:tplc="8A24EBE4">
      <w:start w:val="1"/>
      <w:numFmt w:val="bullet"/>
      <w:lvlText w:val="•"/>
      <w:lvlJc w:val="left"/>
      <w:pPr>
        <w:tabs>
          <w:tab w:val="num" w:pos="2160"/>
        </w:tabs>
        <w:ind w:left="2160" w:hanging="360"/>
      </w:pPr>
      <w:rPr>
        <w:rFonts w:ascii="Arial" w:hAnsi="Arial" w:hint="default"/>
      </w:rPr>
    </w:lvl>
    <w:lvl w:ilvl="3" w:tplc="447EFE1A" w:tentative="1">
      <w:start w:val="1"/>
      <w:numFmt w:val="bullet"/>
      <w:lvlText w:val="•"/>
      <w:lvlJc w:val="left"/>
      <w:pPr>
        <w:tabs>
          <w:tab w:val="num" w:pos="2880"/>
        </w:tabs>
        <w:ind w:left="2880" w:hanging="360"/>
      </w:pPr>
      <w:rPr>
        <w:rFonts w:ascii="Arial" w:hAnsi="Arial" w:hint="default"/>
      </w:rPr>
    </w:lvl>
    <w:lvl w:ilvl="4" w:tplc="BB403C8A" w:tentative="1">
      <w:start w:val="1"/>
      <w:numFmt w:val="bullet"/>
      <w:lvlText w:val="•"/>
      <w:lvlJc w:val="left"/>
      <w:pPr>
        <w:tabs>
          <w:tab w:val="num" w:pos="3600"/>
        </w:tabs>
        <w:ind w:left="3600" w:hanging="360"/>
      </w:pPr>
      <w:rPr>
        <w:rFonts w:ascii="Arial" w:hAnsi="Arial" w:hint="default"/>
      </w:rPr>
    </w:lvl>
    <w:lvl w:ilvl="5" w:tplc="FB245400" w:tentative="1">
      <w:start w:val="1"/>
      <w:numFmt w:val="bullet"/>
      <w:lvlText w:val="•"/>
      <w:lvlJc w:val="left"/>
      <w:pPr>
        <w:tabs>
          <w:tab w:val="num" w:pos="4320"/>
        </w:tabs>
        <w:ind w:left="4320" w:hanging="360"/>
      </w:pPr>
      <w:rPr>
        <w:rFonts w:ascii="Arial" w:hAnsi="Arial" w:hint="default"/>
      </w:rPr>
    </w:lvl>
    <w:lvl w:ilvl="6" w:tplc="1D66490E" w:tentative="1">
      <w:start w:val="1"/>
      <w:numFmt w:val="bullet"/>
      <w:lvlText w:val="•"/>
      <w:lvlJc w:val="left"/>
      <w:pPr>
        <w:tabs>
          <w:tab w:val="num" w:pos="5040"/>
        </w:tabs>
        <w:ind w:left="5040" w:hanging="360"/>
      </w:pPr>
      <w:rPr>
        <w:rFonts w:ascii="Arial" w:hAnsi="Arial" w:hint="default"/>
      </w:rPr>
    </w:lvl>
    <w:lvl w:ilvl="7" w:tplc="2116C546" w:tentative="1">
      <w:start w:val="1"/>
      <w:numFmt w:val="bullet"/>
      <w:lvlText w:val="•"/>
      <w:lvlJc w:val="left"/>
      <w:pPr>
        <w:tabs>
          <w:tab w:val="num" w:pos="5760"/>
        </w:tabs>
        <w:ind w:left="5760" w:hanging="360"/>
      </w:pPr>
      <w:rPr>
        <w:rFonts w:ascii="Arial" w:hAnsi="Arial" w:hint="default"/>
      </w:rPr>
    </w:lvl>
    <w:lvl w:ilvl="8" w:tplc="96048A1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7597D74"/>
    <w:multiLevelType w:val="hybridMultilevel"/>
    <w:tmpl w:val="5C269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DB7765"/>
    <w:multiLevelType w:val="hybridMultilevel"/>
    <w:tmpl w:val="3CCA8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931192"/>
    <w:multiLevelType w:val="hybridMultilevel"/>
    <w:tmpl w:val="9E3E1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F20A70"/>
    <w:multiLevelType w:val="hybridMultilevel"/>
    <w:tmpl w:val="3576667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3" w15:restartNumberingAfterBreak="0">
    <w:nsid w:val="51F01D48"/>
    <w:multiLevelType w:val="hybridMultilevel"/>
    <w:tmpl w:val="FCC6C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983651"/>
    <w:multiLevelType w:val="hybridMultilevel"/>
    <w:tmpl w:val="EB303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730906"/>
    <w:multiLevelType w:val="hybridMultilevel"/>
    <w:tmpl w:val="C99AA4B8"/>
    <w:lvl w:ilvl="0" w:tplc="FBE047B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7A6D80"/>
    <w:multiLevelType w:val="hybridMultilevel"/>
    <w:tmpl w:val="4DEA6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05B25DB"/>
    <w:multiLevelType w:val="hybridMultilevel"/>
    <w:tmpl w:val="120E2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F27D96"/>
    <w:multiLevelType w:val="hybridMultilevel"/>
    <w:tmpl w:val="48623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7"/>
  </w:num>
  <w:num w:numId="4">
    <w:abstractNumId w:val="6"/>
  </w:num>
  <w:num w:numId="5">
    <w:abstractNumId w:val="13"/>
  </w:num>
  <w:num w:numId="6">
    <w:abstractNumId w:val="5"/>
  </w:num>
  <w:num w:numId="7">
    <w:abstractNumId w:val="18"/>
  </w:num>
  <w:num w:numId="8">
    <w:abstractNumId w:val="15"/>
  </w:num>
  <w:num w:numId="9">
    <w:abstractNumId w:val="4"/>
  </w:num>
  <w:num w:numId="10">
    <w:abstractNumId w:val="16"/>
  </w:num>
  <w:num w:numId="11">
    <w:abstractNumId w:val="1"/>
  </w:num>
  <w:num w:numId="12">
    <w:abstractNumId w:val="9"/>
  </w:num>
  <w:num w:numId="13">
    <w:abstractNumId w:val="10"/>
  </w:num>
  <w:num w:numId="14">
    <w:abstractNumId w:val="8"/>
  </w:num>
  <w:num w:numId="15">
    <w:abstractNumId w:val="2"/>
  </w:num>
  <w:num w:numId="16">
    <w:abstractNumId w:val="0"/>
  </w:num>
  <w:num w:numId="17">
    <w:abstractNumId w:val="11"/>
  </w:num>
  <w:num w:numId="18">
    <w:abstractNumId w:val="14"/>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E38"/>
    <w:rsid w:val="0003207B"/>
    <w:rsid w:val="000A05EC"/>
    <w:rsid w:val="000B278C"/>
    <w:rsid w:val="000D6C81"/>
    <w:rsid w:val="00184FCC"/>
    <w:rsid w:val="001D5A84"/>
    <w:rsid w:val="00235E38"/>
    <w:rsid w:val="0027226B"/>
    <w:rsid w:val="002C2B6E"/>
    <w:rsid w:val="002F4280"/>
    <w:rsid w:val="002F556D"/>
    <w:rsid w:val="002F6CBB"/>
    <w:rsid w:val="003345FF"/>
    <w:rsid w:val="003A2D7A"/>
    <w:rsid w:val="00430CEF"/>
    <w:rsid w:val="0047444C"/>
    <w:rsid w:val="004943B5"/>
    <w:rsid w:val="004A2BA6"/>
    <w:rsid w:val="004E2657"/>
    <w:rsid w:val="004E6A2F"/>
    <w:rsid w:val="004F6CD0"/>
    <w:rsid w:val="00587213"/>
    <w:rsid w:val="00595660"/>
    <w:rsid w:val="0059679F"/>
    <w:rsid w:val="00621CC9"/>
    <w:rsid w:val="006237A1"/>
    <w:rsid w:val="00630A00"/>
    <w:rsid w:val="006C7C8B"/>
    <w:rsid w:val="006F733C"/>
    <w:rsid w:val="007434C7"/>
    <w:rsid w:val="0076349D"/>
    <w:rsid w:val="007963D8"/>
    <w:rsid w:val="007C1084"/>
    <w:rsid w:val="008A7801"/>
    <w:rsid w:val="009A7302"/>
    <w:rsid w:val="009D4154"/>
    <w:rsid w:val="00A01A4A"/>
    <w:rsid w:val="00A61FF4"/>
    <w:rsid w:val="00AD2263"/>
    <w:rsid w:val="00B86DC1"/>
    <w:rsid w:val="00BF7899"/>
    <w:rsid w:val="00C22169"/>
    <w:rsid w:val="00C312A5"/>
    <w:rsid w:val="00C536F2"/>
    <w:rsid w:val="00C63194"/>
    <w:rsid w:val="00C95806"/>
    <w:rsid w:val="00C964A1"/>
    <w:rsid w:val="00CA1CD9"/>
    <w:rsid w:val="00D644B2"/>
    <w:rsid w:val="00D66984"/>
    <w:rsid w:val="00D745EF"/>
    <w:rsid w:val="00DA2AFA"/>
    <w:rsid w:val="00E3775A"/>
    <w:rsid w:val="00E55917"/>
    <w:rsid w:val="00EA1365"/>
    <w:rsid w:val="00F3794C"/>
    <w:rsid w:val="00F76D7F"/>
    <w:rsid w:val="00F8537E"/>
    <w:rsid w:val="00F93FD0"/>
    <w:rsid w:val="00F9724E"/>
    <w:rsid w:val="00FA48DD"/>
    <w:rsid w:val="00FE28A7"/>
    <w:rsid w:val="00FF2B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F2FE8E"/>
  <w15:chartTrackingRefBased/>
  <w15:docId w15:val="{EF9D5748-196B-4354-A155-40B1CD811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595660"/>
    <w:pPr>
      <w:widowControl w:val="0"/>
      <w:autoSpaceDE w:val="0"/>
      <w:autoSpaceDN w:val="0"/>
      <w:adjustRightInd w:val="0"/>
      <w:spacing w:before="58" w:after="240" w:line="240" w:lineRule="auto"/>
      <w:ind w:left="2160"/>
      <w:textAlignment w:val="center"/>
      <w:outlineLvl w:val="0"/>
    </w:pPr>
    <w:rPr>
      <w:rFonts w:ascii="Cambria" w:hAnsi="Cambria" w:cs="AkzidenzGroteskBE-BoldCn"/>
      <w:b/>
      <w:bCs/>
      <w:color w:val="25408F"/>
      <w:spacing w:val="-20"/>
      <w:sz w:val="3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95660"/>
    <w:rPr>
      <w:rFonts w:ascii="Cambria" w:hAnsi="Cambria" w:cs="AkzidenzGroteskBE-BoldCn"/>
      <w:b/>
      <w:bCs/>
      <w:color w:val="25408F"/>
      <w:spacing w:val="-20"/>
      <w:sz w:val="36"/>
      <w:szCs w:val="26"/>
    </w:rPr>
  </w:style>
  <w:style w:type="paragraph" w:customStyle="1" w:styleId="MainHeadsintro">
    <w:name w:val="Main Heads intro"/>
    <w:basedOn w:val="Normal"/>
    <w:uiPriority w:val="99"/>
    <w:rsid w:val="00595660"/>
    <w:pPr>
      <w:widowControl w:val="0"/>
      <w:autoSpaceDE w:val="0"/>
      <w:autoSpaceDN w:val="0"/>
      <w:adjustRightInd w:val="0"/>
      <w:spacing w:before="60" w:after="0" w:line="240" w:lineRule="atLeast"/>
      <w:textAlignment w:val="center"/>
    </w:pPr>
    <w:rPr>
      <w:rFonts w:ascii="AkzidenzGroteskBE-BoldCn" w:hAnsi="AkzidenzGroteskBE-BoldCn" w:cs="AkzidenzGroteskBE-BoldCn"/>
      <w:b/>
      <w:bCs/>
      <w:color w:val="25408F"/>
      <w:sz w:val="30"/>
      <w:szCs w:val="26"/>
    </w:rPr>
  </w:style>
  <w:style w:type="paragraph" w:customStyle="1" w:styleId="bodytextintro">
    <w:name w:val="body text intro"/>
    <w:basedOn w:val="Normal"/>
    <w:uiPriority w:val="99"/>
    <w:rsid w:val="00595660"/>
    <w:pPr>
      <w:widowControl w:val="0"/>
      <w:tabs>
        <w:tab w:val="left" w:pos="180"/>
      </w:tabs>
      <w:suppressAutoHyphens/>
      <w:autoSpaceDE w:val="0"/>
      <w:autoSpaceDN w:val="0"/>
      <w:adjustRightInd w:val="0"/>
      <w:spacing w:after="130" w:line="300" w:lineRule="atLeast"/>
      <w:ind w:left="5760"/>
      <w:textAlignment w:val="center"/>
    </w:pPr>
    <w:rPr>
      <w:rFonts w:ascii="ArnoPro-LightDisplay" w:hAnsi="ArnoPro-LightDisplay" w:cs="ArnoPro-LightDisplay"/>
      <w:color w:val="000000"/>
      <w:spacing w:val="-2"/>
      <w:sz w:val="24"/>
      <w:szCs w:val="24"/>
    </w:rPr>
  </w:style>
  <w:style w:type="character" w:styleId="Hyperlink">
    <w:name w:val="Hyperlink"/>
    <w:basedOn w:val="DefaultParagraphFont"/>
    <w:uiPriority w:val="99"/>
    <w:unhideWhenUsed/>
    <w:rsid w:val="00595660"/>
    <w:rPr>
      <w:color w:val="0563C1" w:themeColor="hyperlink"/>
      <w:u w:val="single"/>
    </w:rPr>
  </w:style>
  <w:style w:type="paragraph" w:styleId="Header">
    <w:name w:val="header"/>
    <w:basedOn w:val="Normal"/>
    <w:link w:val="HeaderChar"/>
    <w:uiPriority w:val="99"/>
    <w:unhideWhenUsed/>
    <w:rsid w:val="002F6C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6CBB"/>
  </w:style>
  <w:style w:type="paragraph" w:styleId="Footer">
    <w:name w:val="footer"/>
    <w:basedOn w:val="Normal"/>
    <w:link w:val="FooterChar"/>
    <w:uiPriority w:val="99"/>
    <w:unhideWhenUsed/>
    <w:rsid w:val="002F6C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6CBB"/>
  </w:style>
  <w:style w:type="paragraph" w:customStyle="1" w:styleId="BasicParagraph">
    <w:name w:val="[Basic Paragraph]"/>
    <w:basedOn w:val="Normal"/>
    <w:uiPriority w:val="99"/>
    <w:rsid w:val="00FF2B4E"/>
    <w:pPr>
      <w:widowControl w:val="0"/>
      <w:autoSpaceDE w:val="0"/>
      <w:autoSpaceDN w:val="0"/>
      <w:adjustRightInd w:val="0"/>
      <w:spacing w:after="144" w:line="280" w:lineRule="atLeast"/>
      <w:textAlignment w:val="center"/>
    </w:pPr>
    <w:rPr>
      <w:rFonts w:ascii="ArnoPro-LightDisplay" w:hAnsi="ArnoPro-LightDisplay" w:cs="ArnoPro-LightDisplay"/>
      <w:color w:val="000000"/>
      <w:spacing w:val="-2"/>
      <w:sz w:val="24"/>
      <w:szCs w:val="24"/>
    </w:rPr>
  </w:style>
  <w:style w:type="character" w:customStyle="1" w:styleId="Italic">
    <w:name w:val="Italic"/>
    <w:rsid w:val="00FF2B4E"/>
    <w:rPr>
      <w:rFonts w:ascii="ArnoPro-LightItalicDisplay" w:hAnsi="ArnoPro-LightItalicDisplay" w:cs="ArnoPro-LightItalicDisplay"/>
      <w:i/>
      <w:iCs/>
      <w:sz w:val="25"/>
      <w:szCs w:val="25"/>
    </w:rPr>
  </w:style>
  <w:style w:type="character" w:customStyle="1" w:styleId="semiboldStyle2">
    <w:name w:val="semibold Style 2"/>
    <w:uiPriority w:val="99"/>
    <w:rsid w:val="00FF2B4E"/>
    <w:rPr>
      <w:rFonts w:ascii="ArnoPro-Smbd" w:hAnsi="ArnoPro-Smbd" w:cs="ArnoPro-Smbd"/>
    </w:rPr>
  </w:style>
  <w:style w:type="paragraph" w:styleId="ListParagraph">
    <w:name w:val="List Paragraph"/>
    <w:basedOn w:val="Normal"/>
    <w:uiPriority w:val="34"/>
    <w:qFormat/>
    <w:rsid w:val="00FF2B4E"/>
    <w:pPr>
      <w:spacing w:after="0" w:line="240" w:lineRule="auto"/>
      <w:ind w:left="720"/>
      <w:contextualSpacing/>
    </w:pPr>
    <w:rPr>
      <w:sz w:val="24"/>
      <w:szCs w:val="24"/>
    </w:rPr>
  </w:style>
  <w:style w:type="table" w:styleId="TableGrid">
    <w:name w:val="Table Grid"/>
    <w:basedOn w:val="TableNormal"/>
    <w:uiPriority w:val="1"/>
    <w:rsid w:val="00FF2B4E"/>
    <w:pPr>
      <w:spacing w:after="0" w:line="240" w:lineRule="auto"/>
    </w:pPr>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DA2A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2AFA"/>
    <w:rPr>
      <w:rFonts w:ascii="Segoe UI" w:hAnsi="Segoe UI" w:cs="Segoe UI"/>
      <w:sz w:val="18"/>
      <w:szCs w:val="18"/>
    </w:rPr>
  </w:style>
  <w:style w:type="paragraph" w:styleId="NoSpacing">
    <w:name w:val="No Spacing"/>
    <w:link w:val="NoSpacingChar"/>
    <w:uiPriority w:val="1"/>
    <w:qFormat/>
    <w:rsid w:val="00CA1CD9"/>
    <w:pPr>
      <w:spacing w:after="0" w:line="240" w:lineRule="auto"/>
    </w:pPr>
    <w:rPr>
      <w:rFonts w:eastAsiaTheme="minorEastAsia"/>
    </w:rPr>
  </w:style>
  <w:style w:type="character" w:customStyle="1" w:styleId="NoSpacingChar">
    <w:name w:val="No Spacing Char"/>
    <w:basedOn w:val="DefaultParagraphFont"/>
    <w:link w:val="NoSpacing"/>
    <w:uiPriority w:val="1"/>
    <w:rsid w:val="00CA1CD9"/>
    <w:rPr>
      <w:rFonts w:eastAsiaTheme="minorEastAsia"/>
    </w:rPr>
  </w:style>
  <w:style w:type="character" w:styleId="UnresolvedMention">
    <w:name w:val="Unresolved Mention"/>
    <w:basedOn w:val="DefaultParagraphFont"/>
    <w:uiPriority w:val="99"/>
    <w:semiHidden/>
    <w:unhideWhenUsed/>
    <w:rsid w:val="00CA1CD9"/>
    <w:rPr>
      <w:color w:val="808080"/>
      <w:shd w:val="clear" w:color="auto" w:fill="E6E6E6"/>
    </w:rPr>
  </w:style>
  <w:style w:type="paragraph" w:customStyle="1" w:styleId="MainHeads">
    <w:name w:val="Main Heads"/>
    <w:basedOn w:val="Normal"/>
    <w:uiPriority w:val="99"/>
    <w:rsid w:val="009D4154"/>
    <w:pPr>
      <w:widowControl w:val="0"/>
      <w:autoSpaceDE w:val="0"/>
      <w:autoSpaceDN w:val="0"/>
      <w:adjustRightInd w:val="0"/>
      <w:spacing w:before="58" w:after="180" w:line="360" w:lineRule="atLeast"/>
      <w:textAlignment w:val="center"/>
    </w:pPr>
    <w:rPr>
      <w:rFonts w:ascii="AkzidenzGroteskBE-BoldCn" w:hAnsi="AkzidenzGroteskBE-BoldCn" w:cs="AkzidenzGroteskBE-BoldCn"/>
      <w:b/>
      <w:bCs/>
      <w:color w:val="004812"/>
      <w:sz w:val="72"/>
      <w:szCs w:val="72"/>
    </w:rPr>
  </w:style>
  <w:style w:type="paragraph" w:customStyle="1" w:styleId="BodyText1">
    <w:name w:val="Body Text1"/>
    <w:basedOn w:val="Normal"/>
    <w:uiPriority w:val="99"/>
    <w:rsid w:val="00FE28A7"/>
    <w:pPr>
      <w:widowControl w:val="0"/>
      <w:tabs>
        <w:tab w:val="left" w:pos="180"/>
      </w:tabs>
      <w:suppressAutoHyphens/>
      <w:autoSpaceDE w:val="0"/>
      <w:autoSpaceDN w:val="0"/>
      <w:adjustRightInd w:val="0"/>
      <w:spacing w:after="130" w:line="256" w:lineRule="atLeast"/>
      <w:textAlignment w:val="center"/>
    </w:pPr>
    <w:rPr>
      <w:rFonts w:ascii="ArnoPro-LightDisplay" w:hAnsi="ArnoPro-LightDisplay" w:cs="ArnoPro-LightDisplay"/>
      <w:color w:val="000000"/>
      <w:spacing w:val="-2"/>
      <w:sz w:val="23"/>
      <w:szCs w:val="23"/>
    </w:rPr>
  </w:style>
  <w:style w:type="paragraph" w:styleId="PlainText">
    <w:name w:val="Plain Text"/>
    <w:basedOn w:val="Normal"/>
    <w:link w:val="PlainTextChar"/>
    <w:uiPriority w:val="99"/>
    <w:semiHidden/>
    <w:unhideWhenUsed/>
    <w:rsid w:val="00FE28A7"/>
    <w:pPr>
      <w:spacing w:after="0" w:line="240" w:lineRule="auto"/>
    </w:pPr>
    <w:rPr>
      <w:rFonts w:ascii="Calibri" w:hAnsi="Calibri"/>
      <w:sz w:val="24"/>
      <w:szCs w:val="21"/>
    </w:rPr>
  </w:style>
  <w:style w:type="character" w:customStyle="1" w:styleId="PlainTextChar">
    <w:name w:val="Plain Text Char"/>
    <w:basedOn w:val="DefaultParagraphFont"/>
    <w:link w:val="PlainText"/>
    <w:uiPriority w:val="99"/>
    <w:semiHidden/>
    <w:rsid w:val="00FE28A7"/>
    <w:rPr>
      <w:rFonts w:ascii="Calibri" w:hAnsi="Calibri"/>
      <w:sz w:val="24"/>
      <w:szCs w:val="21"/>
    </w:rPr>
  </w:style>
  <w:style w:type="paragraph" w:customStyle="1" w:styleId="PersonalName">
    <w:name w:val="Personal Name"/>
    <w:basedOn w:val="Normal"/>
    <w:uiPriority w:val="1"/>
    <w:qFormat/>
    <w:rsid w:val="00235E38"/>
    <w:pPr>
      <w:spacing w:after="0" w:line="264" w:lineRule="auto"/>
    </w:pPr>
    <w:rPr>
      <w:rFonts w:cs="Times New Roman"/>
      <w:color w:val="FFFFFF" w:themeColor="background1"/>
      <w:sz w:val="40"/>
      <w:szCs w:val="20"/>
      <w:lang w:eastAsia="ja-JP"/>
    </w:rPr>
  </w:style>
  <w:style w:type="paragraph" w:styleId="Date">
    <w:name w:val="Date"/>
    <w:basedOn w:val="NoSpacing"/>
    <w:next w:val="Normal"/>
    <w:link w:val="DateChar"/>
    <w:uiPriority w:val="99"/>
    <w:unhideWhenUsed/>
    <w:rsid w:val="00235E38"/>
    <w:pPr>
      <w:framePr w:wrap="around" w:hAnchor="page" w:xAlign="center" w:yAlign="top"/>
      <w:contextualSpacing/>
      <w:suppressOverlap/>
      <w:jc w:val="center"/>
    </w:pPr>
    <w:rPr>
      <w:rFonts w:eastAsiaTheme="minorHAnsi" w:cs="Times New Roman"/>
      <w:b/>
      <w:color w:val="FFFFFF" w:themeColor="background1"/>
      <w:sz w:val="23"/>
      <w:szCs w:val="20"/>
      <w:lang w:eastAsia="ja-JP"/>
    </w:rPr>
  </w:style>
  <w:style w:type="character" w:customStyle="1" w:styleId="DateChar">
    <w:name w:val="Date Char"/>
    <w:basedOn w:val="DefaultParagraphFont"/>
    <w:link w:val="Date"/>
    <w:uiPriority w:val="99"/>
    <w:rsid w:val="00235E38"/>
    <w:rPr>
      <w:rFonts w:cs="Times New Roman"/>
      <w:b/>
      <w:color w:val="FFFFFF" w:themeColor="background1"/>
      <w:sz w:val="23"/>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fundraisingregistration.com/" TargetMode="External"/><Relationship Id="rId18" Type="http://schemas.openxmlformats.org/officeDocument/2006/relationships/hyperlink" Target="http://www.mmwr.com/" TargetMode="External"/><Relationship Id="rId26" Type="http://schemas.openxmlformats.org/officeDocument/2006/relationships/glossaryDocument" Target="glossary/document.xml"/><Relationship Id="rId3" Type="http://schemas.openxmlformats.org/officeDocument/2006/relationships/settings" Target="settings.xml"/><Relationship Id="rId21" Type="http://schemas.openxmlformats.org/officeDocument/2006/relationships/hyperlink" Target="http://www.pppnet.org/members/membership-criteria.html" TargetMode="External"/><Relationship Id="rId7" Type="http://schemas.openxmlformats.org/officeDocument/2006/relationships/image" Target="media/image1.png"/><Relationship Id="rId12" Type="http://schemas.openxmlformats.org/officeDocument/2006/relationships/hyperlink" Target="http://www.multistatefiling.org/" TargetMode="External"/><Relationship Id="rId17" Type="http://schemas.openxmlformats.org/officeDocument/2006/relationships/hyperlink" Target="http://www.mpgadv.com/"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copilevitz-canter.com/" TargetMode="External"/><Relationship Id="rId20" Type="http://schemas.openxmlformats.org/officeDocument/2006/relationships/hyperlink" Target="http://www.wc-b.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asconet.org/"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www.charitableregistry.com/" TargetMode="External"/><Relationship Id="rId23" Type="http://schemas.openxmlformats.org/officeDocument/2006/relationships/footer" Target="footer1.xml"/><Relationship Id="rId10" Type="http://schemas.openxmlformats.org/officeDocument/2006/relationships/hyperlink" Target="http://www.plannedgivinginabox.com/PGB2-0901" TargetMode="External"/><Relationship Id="rId19" Type="http://schemas.openxmlformats.org/officeDocument/2006/relationships/hyperlink" Target="http://www.perlmanandperlman.com/" TargetMode="External"/><Relationship Id="rId4" Type="http://schemas.openxmlformats.org/officeDocument/2006/relationships/webSettings" Target="webSettings.xml"/><Relationship Id="rId9" Type="http://schemas.openxmlformats.org/officeDocument/2006/relationships/hyperlink" Target="http://www.plannedgivinginabox.com/PGB2-0901" TargetMode="External"/><Relationship Id="rId14" Type="http://schemas.openxmlformats.org/officeDocument/2006/relationships/hyperlink" Target="http://www.fundraisingregistration.com/" TargetMode="External"/><Relationship Id="rId22" Type="http://schemas.openxmlformats.org/officeDocument/2006/relationships/header" Target="header1.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Success@PlannedGiv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e%20Shealy\Dropbox%20(PlannedGiving.com)\Products%20and%20Toolkits\Planned%20Giving%20in%20a%20Box%20-%202018\Planned%20Giving%20in%20a%20Box\Module%20II\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972BFDF25E04524A688BB6FFA9D225C"/>
        <w:category>
          <w:name w:val="General"/>
          <w:gallery w:val="placeholder"/>
        </w:category>
        <w:types>
          <w:type w:val="bbPlcHdr"/>
        </w:types>
        <w:behaviors>
          <w:behavior w:val="content"/>
        </w:behaviors>
        <w:guid w:val="{F8D60BA1-62DE-47C7-9EB7-A1A02C258660}"/>
      </w:docPartPr>
      <w:docPartBody>
        <w:p w:rsidR="00455B30" w:rsidRDefault="002C007B">
          <w:pPr>
            <w:pStyle w:val="C972BFDF25E04524A688BB6FFA9D225C"/>
          </w:pPr>
          <w:r>
            <w:rPr>
              <w:rFonts w:asciiTheme="majorHAnsi" w:eastAsiaTheme="majorEastAsia" w:hAnsiTheme="majorHAnsi" w:cstheme="majorBidi"/>
              <w:caps/>
              <w:color w:val="4472C4" w:themeColor="accent1"/>
              <w:sz w:val="80"/>
              <w:szCs w:val="8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kzidenzGroteskBE-BoldCn">
    <w:altName w:val="Calibri"/>
    <w:panose1 w:val="00000000000000000000"/>
    <w:charset w:val="4D"/>
    <w:family w:val="auto"/>
    <w:notTrueType/>
    <w:pitch w:val="default"/>
    <w:sig w:usb0="00000003" w:usb1="00000000" w:usb2="00000000" w:usb3="00000000" w:csb0="00000001" w:csb1="00000000"/>
  </w:font>
  <w:font w:name="ArnoPro-LightDisplay">
    <w:altName w:val="Calibri"/>
    <w:panose1 w:val="00000000000000000000"/>
    <w:charset w:val="4D"/>
    <w:family w:val="auto"/>
    <w:notTrueType/>
    <w:pitch w:val="default"/>
    <w:sig w:usb0="00000003" w:usb1="00000000" w:usb2="00000000" w:usb3="00000000" w:csb0="00000001" w:csb1="00000000"/>
  </w:font>
  <w:font w:name="ArnoPro-LightItalicDisplay">
    <w:altName w:val="Calibri"/>
    <w:panose1 w:val="00000000000000000000"/>
    <w:charset w:val="4D"/>
    <w:family w:val="auto"/>
    <w:notTrueType/>
    <w:pitch w:val="default"/>
    <w:sig w:usb0="00000003" w:usb1="00000000" w:usb2="00000000" w:usb3="00000000" w:csb0="00000001" w:csb1="00000000"/>
  </w:font>
  <w:font w:name="ArnoPro-Smbd">
    <w:altName w:val="Calibri"/>
    <w:panose1 w:val="00000000000000000000"/>
    <w:charset w:val="4D"/>
    <w:family w:val="auto"/>
    <w:notTrueType/>
    <w:pitch w:val="default"/>
    <w:sig w:usb0="00000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07B"/>
    <w:rsid w:val="00295C83"/>
    <w:rsid w:val="002C007B"/>
    <w:rsid w:val="00455B30"/>
    <w:rsid w:val="004A7835"/>
    <w:rsid w:val="006434AB"/>
    <w:rsid w:val="00BE1CC3"/>
    <w:rsid w:val="00F229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972BFDF25E04524A688BB6FFA9D225C">
    <w:name w:val="C972BFDF25E04524A688BB6FFA9D225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Template>
  <TotalTime>37</TotalTime>
  <Pages>10</Pages>
  <Words>2450</Words>
  <Characters>13966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Building donor relationships</vt:lpstr>
    </vt:vector>
  </TitlesOfParts>
  <Company/>
  <LinksUpToDate>false</LinksUpToDate>
  <CharactersWithSpaces>16384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Building donor relationships</dc:title>
  <dc:subject>This tool will help you become a much better gift planner.</dc:subject>
  <dc:creator>Kate Shealy</dc:creator>
  <cp:keywords/>
  <dc:description/>
  <cp:lastModifiedBy>Kate Shealy</cp:lastModifiedBy>
  <cp:revision>6</cp:revision>
  <cp:lastPrinted>2018-09-01T12:37:00Z</cp:lastPrinted>
  <dcterms:created xsi:type="dcterms:W3CDTF">2018-09-04T18:42:00Z</dcterms:created>
  <dcterms:modified xsi:type="dcterms:W3CDTF">2018-12-14T16:05:00Z</dcterms:modified>
</cp:coreProperties>
</file>